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6A16" w14:textId="77777777"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6.2.12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Pr="002A7ED7">
        <w:rPr>
          <w:rFonts w:hint="eastAsia"/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72937F38" w14:textId="77777777"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8F496C" w:rsidRPr="0048487C" w14:paraId="3E9319E8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1F846E26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6826360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32B1CDC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67FF0C9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14:paraId="6E46BEBD" w14:textId="77777777" w:rsidTr="005A4BEF">
        <w:trPr>
          <w:trHeight w:val="279"/>
          <w:jc w:val="center"/>
        </w:trPr>
        <w:tc>
          <w:tcPr>
            <w:tcW w:w="819" w:type="dxa"/>
            <w:vAlign w:val="center"/>
          </w:tcPr>
          <w:p w14:paraId="2C55A855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D27908E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14:paraId="21E182F6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369D615" w14:textId="4941B8A6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903DD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F496C" w:rsidRPr="0048487C" w14:paraId="79A43EB5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2B105412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2C75F04F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14:paraId="4390E243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2844FCD5" w14:textId="4C85EF7F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903DD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F496C" w:rsidRPr="0048487C" w14:paraId="3AD7C7FA" w14:textId="77777777" w:rsidTr="005A4BEF">
        <w:trPr>
          <w:trHeight w:val="239"/>
          <w:jc w:val="center"/>
        </w:trPr>
        <w:tc>
          <w:tcPr>
            <w:tcW w:w="819" w:type="dxa"/>
            <w:vAlign w:val="center"/>
          </w:tcPr>
          <w:p w14:paraId="2D06A2F6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72A67EEC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14:paraId="78600F7A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83EC351" w14:textId="00CB7E31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73C4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F496C" w:rsidRPr="0048487C" w14:paraId="0337E379" w14:textId="77777777" w:rsidTr="005A4BEF">
        <w:trPr>
          <w:trHeight w:val="287"/>
          <w:jc w:val="center"/>
        </w:trPr>
        <w:tc>
          <w:tcPr>
            <w:tcW w:w="819" w:type="dxa"/>
            <w:vAlign w:val="center"/>
          </w:tcPr>
          <w:p w14:paraId="031F9B97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6EA09431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 w14:paraId="21621FAE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C6614C7" w14:textId="19B4CB49" w:rsidR="008F496C" w:rsidRPr="0048487C" w:rsidRDefault="00773C4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8F496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14:paraId="2B215365" w14:textId="77777777" w:rsidTr="005A4BEF">
        <w:trPr>
          <w:jc w:val="center"/>
        </w:trPr>
        <w:tc>
          <w:tcPr>
            <w:tcW w:w="5780" w:type="dxa"/>
            <w:gridSpan w:val="2"/>
          </w:tcPr>
          <w:p w14:paraId="121E4FE2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FEB4A0D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084A0FF" w14:textId="47E76CD0" w:rsidR="008F496C" w:rsidRPr="0048487C" w:rsidRDefault="00773C4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 w:rsidR="008F496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8890DCD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CE34F94" w14:textId="218272E2" w:rsidR="008F496C" w:rsidRDefault="008F496C" w:rsidP="008F496C"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EndPr/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/>
            <w:sdtContent>
              <w:sdt>
                <w:sdtPr>
                  <w:rPr>
                    <w:rFonts w:hint="eastAsia"/>
                  </w:rPr>
                  <w:id w:val="-54075544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45DD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770E65D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6864EF97" w14:textId="77777777" w:rsidTr="00BC3B5D">
        <w:trPr>
          <w:trHeight w:val="1692"/>
          <w:jc w:val="center"/>
        </w:trPr>
        <w:tc>
          <w:tcPr>
            <w:tcW w:w="9356" w:type="dxa"/>
          </w:tcPr>
          <w:p w14:paraId="01425289" w14:textId="73BCF897" w:rsidR="008F496C" w:rsidRPr="00BC3B5D" w:rsidRDefault="00527301" w:rsidP="00BC796B">
            <w:pPr>
              <w:ind w:firstLineChars="200" w:firstLine="40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本建筑</w:t>
            </w:r>
            <w:proofErr w:type="gramEnd"/>
            <w:r>
              <w:rPr>
                <w:rFonts w:hint="eastAsia"/>
                <w:szCs w:val="21"/>
              </w:rPr>
              <w:t>的能耗严格按照</w:t>
            </w:r>
            <w:r>
              <w:t>《近零能耗建筑技术标准》</w:t>
            </w:r>
            <w:r>
              <w:t>(GB/T51350-2019)</w:t>
            </w:r>
            <w:r>
              <w:rPr>
                <w:rFonts w:hint="eastAsia"/>
              </w:rPr>
              <w:t>进行相关评估，并制定切实可行的技术方案和实施计划，结合</w:t>
            </w:r>
            <w:proofErr w:type="gramStart"/>
            <w:r>
              <w:rPr>
                <w:rFonts w:hint="eastAsia"/>
              </w:rPr>
              <w:t>绿建斯维尔相关</w:t>
            </w:r>
            <w:proofErr w:type="gramEnd"/>
            <w:r>
              <w:rPr>
                <w:rFonts w:hint="eastAsia"/>
              </w:rPr>
              <w:t>节能软件多进行方位评估。</w:t>
            </w:r>
          </w:p>
        </w:tc>
      </w:tr>
    </w:tbl>
    <w:p w14:paraId="034858F0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5BBDCF72" w14:textId="77777777" w:rsidTr="00BC3B5D">
        <w:trPr>
          <w:trHeight w:val="1946"/>
          <w:jc w:val="center"/>
        </w:trPr>
        <w:tc>
          <w:tcPr>
            <w:tcW w:w="9356" w:type="dxa"/>
          </w:tcPr>
          <w:p w14:paraId="0988AF68" w14:textId="2ACA29DA" w:rsidR="008F496C" w:rsidRPr="00547320" w:rsidRDefault="00527301" w:rsidP="00527301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相关人员本着公正、公开的原则，每周三</w:t>
            </w:r>
            <w:r>
              <w:rPr>
                <w:rFonts w:hint="eastAsia"/>
              </w:rPr>
              <w:t>检查、调试公共设施设备，开展节能诊断评估以及水质检测</w:t>
            </w:r>
            <w:r>
              <w:rPr>
                <w:rFonts w:hint="eastAsia"/>
              </w:rPr>
              <w:t>，次日于小区电子大屏幕上进行公示，方便小区居民监督。</w:t>
            </w:r>
          </w:p>
        </w:tc>
      </w:tr>
    </w:tbl>
    <w:p w14:paraId="1BCC2EC2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32A97AE" w14:textId="77777777" w:rsidR="008F496C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09A177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14:paraId="50840F00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14:paraId="75404964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14:paraId="3E4C6BBA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14:paraId="14CD95B7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3636D841" w14:textId="77777777" w:rsidTr="00BC3B5D">
        <w:trPr>
          <w:trHeight w:val="1833"/>
          <w:jc w:val="center"/>
        </w:trPr>
        <w:tc>
          <w:tcPr>
            <w:tcW w:w="9356" w:type="dxa"/>
          </w:tcPr>
          <w:p w14:paraId="2DF54A79" w14:textId="44CB44FA" w:rsidR="008F496C" w:rsidRPr="00547320" w:rsidRDefault="0052730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7112F65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A9C4" w14:textId="77777777" w:rsidR="00CF38BA" w:rsidRDefault="00CF38BA" w:rsidP="008F496C">
      <w:r>
        <w:separator/>
      </w:r>
    </w:p>
  </w:endnote>
  <w:endnote w:type="continuationSeparator" w:id="0">
    <w:p w14:paraId="75CC9953" w14:textId="77777777" w:rsidR="00CF38BA" w:rsidRDefault="00CF38BA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F248" w14:textId="77777777" w:rsidR="00CF38BA" w:rsidRDefault="00CF38BA" w:rsidP="008F496C">
      <w:r>
        <w:separator/>
      </w:r>
    </w:p>
  </w:footnote>
  <w:footnote w:type="continuationSeparator" w:id="0">
    <w:p w14:paraId="06B0C524" w14:textId="77777777" w:rsidR="00CF38BA" w:rsidRDefault="00CF38BA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3F"/>
    <w:rsid w:val="000216AE"/>
    <w:rsid w:val="00074A38"/>
    <w:rsid w:val="002309BC"/>
    <w:rsid w:val="00245DD2"/>
    <w:rsid w:val="003E69BB"/>
    <w:rsid w:val="00527301"/>
    <w:rsid w:val="00773C4C"/>
    <w:rsid w:val="007C323F"/>
    <w:rsid w:val="008F496C"/>
    <w:rsid w:val="00BC3B5D"/>
    <w:rsid w:val="00BC796B"/>
    <w:rsid w:val="00CF38BA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D3FA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C04B3D-5956-41A1-8CEC-5CB4CB99C7C5}"/>
      </w:docPartPr>
      <w:docPartBody>
        <w:p w:rsidR="006E36FA" w:rsidRDefault="00D85B91" w:rsidP="00D85B91">
          <w:pPr>
            <w:pStyle w:val="D63862B179D6439782D9145C98D28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91"/>
    <w:rsid w:val="00226A6E"/>
    <w:rsid w:val="00397723"/>
    <w:rsid w:val="006E36FA"/>
    <w:rsid w:val="00745BE1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D63862B179D6439782D9145C98D283DB">
    <w:name w:val="D63862B179D6439782D9145C98D283DB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7</cp:revision>
  <dcterms:created xsi:type="dcterms:W3CDTF">2019-07-12T08:01:00Z</dcterms:created>
  <dcterms:modified xsi:type="dcterms:W3CDTF">2022-02-21T06:25:00Z</dcterms:modified>
</cp:coreProperties>
</file>