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fc73949a-7f1b-49fb-bf2a-275d3050d36f.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2021年11月13日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5c82e5720140ba"/>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T13957648453</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995</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7.5</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90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挤塑聚苯乙烯泡沫塑料（带表皮）</w:t>
            </w:r>
          </w:p>
        </w:tc>
        <w:tc>
          <w:tcPr>
            <w:vAlign w:val="center"/>
          </w:tcPr>
          <w:p>
            <w:pPr/>
            <w:r>
              <w:t>20</w:t>
            </w:r>
          </w:p>
        </w:tc>
        <w:tc>
          <w:tcPr>
            <w:vAlign w:val="center"/>
          </w:tcPr>
          <w:p>
            <w:pPr/>
            <w:r>
              <w:t>35</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挤塑聚苯乙烯泡沫塑料（带表皮）</w:t>
            </w:r>
          </w:p>
        </w:tc>
        <w:tc>
          <w:tcPr>
            <w:vAlign w:val="center"/>
          </w:tcPr>
          <w:p>
            <w:pPr/>
            <w:r>
              <w:t>20</w:t>
            </w:r>
          </w:p>
        </w:tc>
        <w:tc>
          <w:tcPr>
            <w:vAlign w:val="center"/>
          </w:tcPr>
          <w:p>
            <w:pPr/>
            <w:r>
              <w:t>35</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水泥砂浆 20mm＋挤塑聚苯乙烯泡沫塑料（带表皮）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砖墙240厚，双面抹灰各20厚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42.0</w:t>
            </w:r>
          </w:p>
        </w:tc>
        <w:tc>
          <w:tcPr>
            <w:vAlign w:val="center"/>
          </w:tcPr>
          <w:p>
            <w:pPr/>
            <w:r>
              <w:t>43.0</w:t>
            </w:r>
          </w:p>
        </w:tc>
        <w:tc>
          <w:tcPr>
            <w:vAlign w:val="center"/>
          </w:tcPr>
          <w:p>
            <w:pPr/>
            <w:r>
              <w:t>49.0</w:t>
            </w:r>
          </w:p>
        </w:tc>
        <w:tc>
          <w:tcPr>
            <w:vAlign w:val="center"/>
          </w:tcPr>
          <w:p>
            <w:pPr/>
            <w:r>
              <w:t>57.0</w:t>
            </w:r>
          </w:p>
        </w:tc>
        <w:tc>
          <w:tcPr>
            <w:vAlign w:val="center"/>
          </w:tcPr>
          <w:p>
            <w:pPr/>
            <w:r>
              <w:t>60.0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4.0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54</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-4.0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20mm＋挤塑聚苯乙烯泡沫塑料（带表皮）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砖墙240厚，双面抹灰各20厚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42.0</w:t>
            </w:r>
          </w:p>
        </w:tc>
        <w:tc>
          <w:tcPr>
            <w:vAlign w:val="center"/>
          </w:tcPr>
          <w:p>
            <w:pPr/>
            <w:r>
              <w:t>43.0</w:t>
            </w:r>
          </w:p>
        </w:tc>
        <w:tc>
          <w:tcPr>
            <w:vAlign w:val="center"/>
          </w:tcPr>
          <w:p>
            <w:pPr/>
            <w:r>
              <w:t>49.0</w:t>
            </w:r>
          </w:p>
        </w:tc>
        <w:tc>
          <w:tcPr>
            <w:vAlign w:val="center"/>
          </w:tcPr>
          <w:p>
            <w:pPr/>
            <w:r>
              <w:t>57.0</w:t>
            </w:r>
          </w:p>
        </w:tc>
        <w:tc>
          <w:tcPr>
            <w:vAlign w:val="center"/>
          </w:tcPr>
          <w:p>
            <w:pPr/>
            <w:r>
              <w:t>60.0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4.0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54</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-4.0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单层玻璃窗</w:t>
            </w:r>
            <w:r>
              <w:br/>
            </w:r>
            <w:r>
              <w:t>玻璃厚3</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21.0</w:t>
            </w:r>
          </w:p>
        </w:tc>
        <w:tc>
          <w:tcPr>
            <w:vAlign w:val="center"/>
          </w:tcPr>
          <w:p>
            <w:pPr/>
            <w:r>
              <w:t>22.0</w:t>
            </w:r>
          </w:p>
        </w:tc>
        <w:tc>
          <w:tcPr>
            <w:vAlign w:val="center"/>
          </w:tcPr>
          <w:p>
            <w:pPr/>
            <w:r>
              <w:t>23.0</w:t>
            </w:r>
          </w:p>
        </w:tc>
        <w:tc>
          <w:tcPr>
            <w:vAlign w:val="center"/>
          </w:tcPr>
          <w:p>
            <w:pPr/>
            <w:r>
              <w:t>27.0</w:t>
            </w:r>
          </w:p>
        </w:tc>
        <w:tc>
          <w:tcPr>
            <w:vAlign w:val="center"/>
          </w:tcPr>
          <w:p>
            <w:pPr/>
            <w:r>
              <w:t>30.0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4.0</w:t>
            </w:r>
          </w:p>
        </w:tc>
        <w:tc>
          <w:tcPr>
            <w:vAlign w:val="center"/>
          </w:tcPr>
          <w:p>
            <w:pPr/>
            <w:r>
              <w:t>3.0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27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25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100厚钢筋混凝土楼板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2419604" cy="1105016"/>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0142e3eb44fae"/>
                          <a:stretch>
                            <a:fillRect/>
                          </a:stretch>
                        </pic:blipFill>
                        <pic:spPr>
                          <a:xfrm>
                            <a:off x="0" y="0"/>
                            <a:ext cx="2419604" cy="1105016"/>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《民用建筑隔声与吸声构造》15ZJ502</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color w:val="FF0000"/>
                <w:sz w:val="18"/>
                <w:szCs w:val="18"/>
              </w:rPr>
              <w:t>84</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color w:val="FF0000"/>
                <w:sz w:val="18"/>
                <w:szCs w:val="18"/>
              </w:rPr>
              <w:t>不满足</w:t>
            </w:r>
          </w:p>
        </w:tc>
      </w:tr>
      <w:tr>
        <w:tc>
          <w:tcPr>
            <w:vAlign w:val="center"/>
            <w:shd w:val="clear" w:color="auto" w:fill="E6E6E6"/>
            <w:vMerge w:val="restart"/>
          </w:tcPr>
          <w:p>
            <w:pPr/>
            <w:r>
              <w:rPr>
                <w:sz w:val="18"/>
                <w:szCs w:val="18"/>
              </w:rPr>
              <w:t>卧室的分户楼板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100厚钢筋混凝土楼板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2419604" cy="1105016"/>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0142e3eb44fae"/>
                          <a:stretch>
                            <a:fillRect/>
                          </a:stretch>
                        </pic:blipFill>
                        <pic:spPr>
                          <a:xfrm>
                            <a:off x="0" y="0"/>
                            <a:ext cx="2419604" cy="1105016"/>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《民用建筑隔声与吸声构造》15ZJ502</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color w:val="FF0000"/>
                <w:sz w:val="18"/>
                <w:szCs w:val="18"/>
              </w:rPr>
              <w:t>84</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color w:val="FF0000"/>
                <w:sz w:val="18"/>
                <w:szCs w:val="18"/>
              </w:rPr>
              <w:t>不满足</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79.19998168945313"/>
        <w:gridCol w:w="1131.9999694824219"/>
        <w:gridCol w:w="2037.5999450683594"/>
        <w:gridCol w:w="1131.9999694824219"/>
        <w:gridCol w:w="1131.9999694824219"/>
        <w:gridCol w:w="1131.9999694824219"/>
        <w:gridCol w:w="2037.5999450683594"/>
      </w:tblGrid>
      <w:tr>
        <w:tc>
          <w:tcPr>
            <w:vAlign w:val="center"/>
            <w:shd w:val="clear" w:color="auto" w:fill="E6E6E6"/>
          </w:tcPr>
          <w:p>
            <w:pPr>
              <w:jc w:val="center"/>
            </w:pPr>
            <w:r>
              <w:rPr>
                <w:b/>
              </w:rPr>
              <w:t>序号</w:t>
            </w:r>
          </w:p>
        </w:tc>
        <w:tc>
          <w:tcPr>
            <w:vAlign w:val="center"/>
            <w:shd w:val="clear" w:color="auto" w:fill="E6E6E6"/>
          </w:tcPr>
          <w:p>
            <w:pPr>
              <w:jc w:val="center"/>
            </w:pPr>
            <w:r>
              <w:rPr>
                <w:b/>
              </w:rPr>
              <w:t>房间</w:t>
            </w:r>
          </w:p>
        </w:tc>
        <w:tc>
          <w:tcPr>
            <w:vAlign w:val="center"/>
            <w:shd w:val="clear" w:color="auto" w:fill="E6E6E6"/>
          </w:tcPr>
          <w:p>
            <w:pPr>
              <w:jc w:val="center"/>
            </w:pPr>
            <w:r>
              <w:rPr>
                <w:b/>
              </w:rPr>
              <w:t>构造</w:t>
            </w:r>
          </w:p>
        </w:tc>
        <w:tc>
          <w:tcPr>
            <w:vAlign w:val="center"/>
            <w:shd w:val="clear" w:color="auto" w:fill="E6E6E6"/>
          </w:tcPr>
          <w:p>
            <w:pPr>
              <w:jc w:val="center"/>
            </w:pPr>
            <w:r>
              <w:rPr>
                <w:b/>
              </w:rPr>
              <w:t>面积</w:t>
            </w:r>
          </w:p>
        </w:tc>
        <w:tc>
          <w:tcPr>
            <w:vAlign w:val="center"/>
            <w:shd w:val="clear" w:color="auto" w:fill="E6E6E6"/>
          </w:tcPr>
          <w:p>
            <w:pPr>
              <w:jc w:val="center"/>
            </w:pPr>
            <w:r>
              <w:rPr>
                <w:b/>
              </w:rPr>
              <w:t>隔声量</w:t>
            </w:r>
          </w:p>
        </w:tc>
        <w:tc>
          <w:tcPr>
            <w:vAlign w:val="center"/>
            <w:shd w:val="clear" w:color="auto" w:fill="E6E6E6"/>
          </w:tcPr>
          <w:p>
            <w:pPr>
              <w:jc w:val="center"/>
            </w:pPr>
            <w:r>
              <w:rPr>
                <w:b/>
              </w:rPr>
              <w:t>组合墙</w:t>
            </w:r>
            <w:r>
              <w:rPr>
                <w:b/>
              </w:rPr>
              <w:br/>
            </w:r>
            <w:r>
              <w:rPr>
                <w:b/>
              </w:rPr>
              <w:t>隔声量</w:t>
            </w:r>
          </w:p>
        </w:tc>
        <w:tc>
          <w:tcPr>
            <w:vAlign w:val="center"/>
            <w:shd w:val="clear" w:color="auto" w:fill="E6E6E6"/>
          </w:tcPr>
          <w:p>
            <w:pPr>
              <w:jc w:val="center"/>
            </w:pPr>
            <w:r>
              <w:rPr>
                <w:b/>
              </w:rPr>
              <w:t>达标情况</w:t>
            </w:r>
          </w:p>
        </w:tc>
      </w:tr>
      <w:tr>
        <w:tc>
          <w:tcPr>
            <w:vAlign w:val="center"/>
            <w:shd w:val="clear" w:color="auto" w:fill="E6E6E6"/>
            <w:vMerge w:val="restart"/>
          </w:tcPr>
          <w:p>
            <w:pPr>
              <w:jc w:val="center"/>
            </w:pPr>
            <w:r>
              <w:t>1</w:t>
            </w:r>
          </w:p>
        </w:tc>
        <w:tc>
          <w:tcPr>
            <w:vAlign w:val="center"/>
            <w:vMerge w:val="restart"/>
          </w:tcPr>
          <w:p>
            <w:pPr>
              <w:jc w:val="center"/>
            </w:pPr>
            <w:r>
              <w:t>1001</w:t>
            </w:r>
          </w:p>
        </w:tc>
        <w:tc>
          <w:tcPr>
            <w:vAlign w:val="center"/>
          </w:tcPr>
          <w:p>
            <w:pPr>
              <w:jc w:val="center"/>
            </w:pPr>
            <w:r>
              <w:t>卧室外墙</w:t>
            </w:r>
          </w:p>
        </w:tc>
        <w:tc>
          <w:tcPr>
            <w:vAlign w:val="center"/>
          </w:tcPr>
          <w:p>
            <w:pPr>
              <w:jc w:val="center"/>
            </w:pPr>
            <w:r>
              <w:t>9.5</w:t>
            </w:r>
          </w:p>
        </w:tc>
        <w:tc>
          <w:tcPr>
            <w:vAlign w:val="center"/>
          </w:tcPr>
          <w:p>
            <w:pPr>
              <w:jc w:val="center"/>
            </w:pPr>
            <w:r>
              <w:t>50</w:t>
            </w:r>
          </w:p>
        </w:tc>
        <w:tc>
          <w:tcPr>
            <w:vAlign w:val="center"/>
            <w:vMerge w:val="restart"/>
          </w:tcPr>
          <w:p>
            <w:pPr>
              <w:jc w:val="center"/>
            </w:pPr>
            <w:r>
              <w:t>30</w:t>
            </w:r>
          </w:p>
        </w:tc>
        <w:tc>
          <w:tcPr>
            <w:vAlign w:val="center"/>
            <w:vMerge w:val="restart"/>
          </w:tcPr>
          <w:p>
            <w:pPr>
              <w:jc w:val="center"/>
            </w:pPr>
            <w:r>
              <w:rPr>
                <w:color w:val="FF0000"/>
              </w:rPr>
              <w:t>不满足</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w:t>
            </w:r>
          </w:p>
        </w:tc>
        <w:tc>
          <w:tcPr>
            <w:vAlign w:val="center"/>
          </w:tcPr>
          <w:p>
            <w:pPr>
              <w:jc w:val="center"/>
            </w:pPr>
            <w:r>
              <w:t>2.0</w:t>
            </w:r>
          </w:p>
        </w:tc>
        <w:tc>
          <w:tcPr>
            <w:vAlign w:val="center"/>
          </w:tcPr>
          <w:p>
            <w:pPr>
              <w:jc w:val="center"/>
            </w:pPr>
            <w:r>
              <w:t>25</w:t>
            </w:r>
          </w:p>
        </w:tc>
        <w:tc>
          <w:tcPr>
            <w:vAlign w:val="center"/>
            <w:vMerge/>
          </w:tcPr>
          <w:p>
            <w:pPr>
              <w:jc w:val="center"/>
            </w:pPr>
          </w:p>
        </w:tc>
        <w:tc>
          <w:tcPr>
            <w:vAlign w:val="center"/>
            <w:vMerge/>
          </w:tcPr>
          <w:p>
            <w:pPr>
              <w:jc w:val="center"/>
            </w:pP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w:t>
            </w:r>
          </w:p>
        </w:tc>
        <w:tc>
          <w:tcPr>
            <w:vAlign w:val="center"/>
          </w:tcPr>
          <w:p>
            <w:pPr>
              <w:jc w:val="center"/>
            </w:pPr>
            <w:r>
              <w:t>2.0</w:t>
            </w:r>
          </w:p>
        </w:tc>
        <w:tc>
          <w:tcPr>
            <w:vAlign w:val="center"/>
          </w:tcPr>
          <w:p>
            <w:pPr>
              <w:jc w:val="center"/>
            </w:pPr>
            <w:r>
              <w:t>25</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2</w:t>
            </w:r>
          </w:p>
        </w:tc>
        <w:tc>
          <w:tcPr>
            <w:vAlign w:val="center"/>
            <w:vMerge w:val="restart"/>
          </w:tcPr>
          <w:p>
            <w:pPr>
              <w:jc w:val="center"/>
            </w:pPr>
            <w:r>
              <w:t>2006</w:t>
            </w:r>
          </w:p>
        </w:tc>
        <w:tc>
          <w:tcPr>
            <w:vAlign w:val="center"/>
          </w:tcPr>
          <w:p>
            <w:pPr>
              <w:jc w:val="center"/>
            </w:pPr>
            <w:r>
              <w:t>卧室外墙</w:t>
            </w:r>
          </w:p>
        </w:tc>
        <w:tc>
          <w:tcPr>
            <w:vAlign w:val="center"/>
          </w:tcPr>
          <w:p>
            <w:pPr>
              <w:jc w:val="center"/>
            </w:pPr>
            <w:r>
              <w:t>12.3</w:t>
            </w:r>
          </w:p>
        </w:tc>
        <w:tc>
          <w:tcPr>
            <w:vAlign w:val="center"/>
          </w:tcPr>
          <w:p>
            <w:pPr>
              <w:jc w:val="center"/>
            </w:pPr>
            <w:r>
              <w:t>50</w:t>
            </w:r>
          </w:p>
        </w:tc>
        <w:tc>
          <w:tcPr>
            <w:vAlign w:val="center"/>
            <w:vMerge w:val="restart"/>
          </w:tcPr>
          <w:p>
            <w:pPr>
              <w:jc w:val="center"/>
            </w:pPr>
            <w:r>
              <w:t>34</w:t>
            </w:r>
          </w:p>
        </w:tc>
        <w:tc>
          <w:tcPr>
            <w:vAlign w:val="center"/>
            <w:vMerge w:val="restart"/>
          </w:tcPr>
          <w:p>
            <w:pPr>
              <w:jc w:val="center"/>
            </w:pPr>
            <w:r>
              <w:rPr>
                <w:color w:val="FF0000"/>
              </w:rPr>
              <w:t>不满足</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内窗(33)</w:t>
            </w:r>
          </w:p>
        </w:tc>
        <w:tc>
          <w:tcPr>
            <w:vAlign w:val="center"/>
          </w:tcPr>
          <w:p>
            <w:pPr>
              <w:jc w:val="center"/>
            </w:pPr>
            <w:r>
              <w:t>1.6</w:t>
            </w:r>
          </w:p>
        </w:tc>
        <w:tc>
          <w:tcPr>
            <w:vAlign w:val="center"/>
          </w:tcPr>
          <w:p>
            <w:pPr>
              <w:jc w:val="center"/>
            </w:pPr>
            <w:r>
              <w:t>25</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3</w:t>
            </w:r>
          </w:p>
        </w:tc>
        <w:tc>
          <w:tcPr>
            <w:vAlign w:val="center"/>
            <w:vMerge w:val="restart"/>
          </w:tcPr>
          <w:p>
            <w:pPr>
              <w:jc w:val="center"/>
            </w:pPr>
            <w:r>
              <w:t>2008</w:t>
            </w:r>
          </w:p>
        </w:tc>
        <w:tc>
          <w:tcPr>
            <w:vAlign w:val="center"/>
          </w:tcPr>
          <w:p>
            <w:pPr>
              <w:jc w:val="center"/>
            </w:pPr>
            <w:r>
              <w:t>卧室外墙</w:t>
            </w:r>
          </w:p>
        </w:tc>
        <w:tc>
          <w:tcPr>
            <w:vAlign w:val="center"/>
          </w:tcPr>
          <w:p>
            <w:pPr>
              <w:jc w:val="center"/>
            </w:pPr>
            <w:r>
              <w:t>12.2</w:t>
            </w:r>
          </w:p>
        </w:tc>
        <w:tc>
          <w:tcPr>
            <w:vAlign w:val="center"/>
          </w:tcPr>
          <w:p>
            <w:pPr>
              <w:jc w:val="center"/>
            </w:pPr>
            <w:r>
              <w:t>50</w:t>
            </w:r>
          </w:p>
        </w:tc>
        <w:tc>
          <w:tcPr>
            <w:vAlign w:val="center"/>
            <w:vMerge w:val="restart"/>
          </w:tcPr>
          <w:p>
            <w:pPr>
              <w:jc w:val="center"/>
            </w:pPr>
            <w:r>
              <w:t>34</w:t>
            </w:r>
          </w:p>
        </w:tc>
        <w:tc>
          <w:tcPr>
            <w:vAlign w:val="center"/>
            <w:vMerge w:val="restart"/>
          </w:tcPr>
          <w:p>
            <w:pPr>
              <w:jc w:val="center"/>
            </w:pPr>
            <w:r>
              <w:rPr>
                <w:color w:val="FF0000"/>
              </w:rPr>
              <w:t>不满足</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内窗(35)</w:t>
            </w:r>
          </w:p>
        </w:tc>
        <w:tc>
          <w:tcPr>
            <w:vAlign w:val="center"/>
          </w:tcPr>
          <w:p>
            <w:pPr>
              <w:jc w:val="center"/>
            </w:pPr>
            <w:r>
              <w:t>1.6</w:t>
            </w:r>
          </w:p>
        </w:tc>
        <w:tc>
          <w:tcPr>
            <w:vAlign w:val="center"/>
          </w:tcPr>
          <w:p>
            <w:pPr>
              <w:jc w:val="center"/>
            </w:pPr>
            <w:r>
              <w:t>25</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4</w:t>
            </w:r>
          </w:p>
        </w:tc>
        <w:tc>
          <w:tcPr>
            <w:vAlign w:val="center"/>
            <w:vMerge w:val="restart"/>
          </w:tcPr>
          <w:p>
            <w:pPr>
              <w:jc w:val="center"/>
            </w:pPr>
            <w:r>
              <w:t>2001</w:t>
            </w:r>
          </w:p>
        </w:tc>
        <w:tc>
          <w:tcPr>
            <w:vAlign w:val="center"/>
          </w:tcPr>
          <w:p>
            <w:pPr>
              <w:jc w:val="center"/>
            </w:pPr>
            <w:r>
              <w:t>卧室外墙</w:t>
            </w:r>
          </w:p>
        </w:tc>
        <w:tc>
          <w:tcPr>
            <w:vAlign w:val="center"/>
          </w:tcPr>
          <w:p>
            <w:pPr>
              <w:jc w:val="center"/>
            </w:pPr>
            <w:r>
              <w:t>21.2</w:t>
            </w:r>
          </w:p>
        </w:tc>
        <w:tc>
          <w:tcPr>
            <w:vAlign w:val="center"/>
          </w:tcPr>
          <w:p>
            <w:pPr>
              <w:jc w:val="center"/>
            </w:pPr>
            <w:r>
              <w:t>50</w:t>
            </w:r>
          </w:p>
        </w:tc>
        <w:tc>
          <w:tcPr>
            <w:vAlign w:val="center"/>
            <w:vMerge w:val="restart"/>
          </w:tcPr>
          <w:p>
            <w:pPr>
              <w:jc w:val="center"/>
            </w:pPr>
            <w:r>
              <w:t>36</w:t>
            </w:r>
          </w:p>
        </w:tc>
        <w:tc>
          <w:tcPr>
            <w:vAlign w:val="center"/>
            <w:vMerge w:val="restart"/>
          </w:tcPr>
          <w:p>
            <w:pPr>
              <w:jc w:val="center"/>
            </w:pPr>
            <w:r>
              <w:t>二星级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内窗(32)</w:t>
            </w:r>
          </w:p>
        </w:tc>
        <w:tc>
          <w:tcPr>
            <w:vAlign w:val="center"/>
          </w:tcPr>
          <w:p>
            <w:pPr>
              <w:jc w:val="center"/>
            </w:pPr>
            <w:r>
              <w:t>1.6</w:t>
            </w:r>
          </w:p>
        </w:tc>
        <w:tc>
          <w:tcPr>
            <w:vAlign w:val="center"/>
          </w:tcPr>
          <w:p>
            <w:pPr>
              <w:jc w:val="center"/>
            </w:pPr>
            <w:r>
              <w:t>25</w:t>
            </w:r>
          </w:p>
        </w:tc>
        <w:tc>
          <w:tcPr>
            <w:vAlign w:val="center"/>
            <w:vMerge/>
          </w:tcPr>
          <w:p>
            <w:pPr>
              <w:jc w:val="center"/>
            </w:pPr>
          </w:p>
        </w:tc>
        <w:tc>
          <w:tcPr>
            <w:vAlign w:val="center"/>
            <w:vMerge/>
          </w:tcPr>
          <w:p>
            <w:pPr>
              <w:jc w:val="center"/>
            </w:pPr>
          </w:p>
        </w:tc>
      </w:tr>
    </w:tbl>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50</w:t>
            </w:r>
          </w:p>
        </w:tc>
        <w:tc>
          <w:tcPr>
            <w:vAlign w:val="center"/>
          </w:tcPr>
          <w:p>
            <w:pPr/>
            <w:r>
              <w:t>低限:≥45,高要求:≥50</w:t>
            </w:r>
          </w:p>
        </w:tc>
        <w:tc>
          <w:tcPr>
            <w:vAlign w:val="center"/>
          </w:tcPr>
          <w:p>
            <w:pPr/>
            <w:r>
              <w:rPr>
                <w:b/>
              </w:rPr>
              <w:t>满足高要求</w:t>
            </w:r>
          </w:p>
        </w:tc>
      </w:tr>
      <w:tr>
        <w:tc>
          <w:tcPr>
            <w:vAlign w:val="center"/>
            <w:shd w:val="clear" w:color="auto" w:fill="E6E6E6"/>
          </w:tcPr>
          <w:p>
            <w:pPr/>
            <w:r>
              <w:t>起居室外墙</w:t>
            </w:r>
          </w:p>
        </w:tc>
        <w:tc>
          <w:tcPr>
            <w:vAlign w:val="center"/>
          </w:tcPr>
          <w:p>
            <w:pPr/>
            <w:r>
              <w:rPr>
                <w:b/>
              </w:rPr>
              <w:t>50</w:t>
            </w:r>
          </w:p>
        </w:tc>
        <w:tc>
          <w:tcPr>
            <w:vAlign w:val="center"/>
          </w:tcPr>
          <w:p>
            <w:pPr/>
            <w:r>
              <w:t>低限:≥45,高要求:≥50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25</w:t>
            </w:r>
          </w:p>
        </w:tc>
        <w:tc>
          <w:tcPr>
            <w:vAlign w:val="center"/>
          </w:tcPr>
          <w:p>
            <w:pPr/>
            <w:r>
              <w:t>低限:≥25,高要求:≥30</w:t>
            </w:r>
          </w:p>
        </w:tc>
        <w:tc>
          <w:tcPr>
            <w:vAlign w:val="center"/>
          </w:tcPr>
          <w:p>
            <w:pPr/>
            <w:r>
              <w:rPr>
                <w:b/>
              </w:rPr>
              <w:t>满足低限要求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起居室的分户楼板</w:t>
            </w:r>
          </w:p>
        </w:tc>
        <w:tc>
          <w:tcPr>
            <w:vAlign w:val="center"/>
          </w:tcPr>
          <w:p>
            <w:pPr/>
            <w:r>
              <w:rPr>
                <w:b/>
                <w:color w:val="FF0000"/>
              </w:rPr>
              <w:t>84</w:t>
            </w:r>
          </w:p>
        </w:tc>
        <w:tc>
          <w:tcPr>
            <w:vAlign w:val="center"/>
          </w:tcPr>
          <w:p>
            <w:pPr/>
            <w:r>
              <w:t>低限:&lt;75,高要求:&lt;65</w:t>
            </w:r>
          </w:p>
        </w:tc>
        <w:tc>
          <w:tcPr>
            <w:vAlign w:val="center"/>
          </w:tcPr>
          <w:p>
            <w:pPr/>
            <w:r>
              <w:rPr>
                <w:b/>
                <w:color w:val="FF0000"/>
              </w:rPr>
              <w:t>不满足</w:t>
            </w:r>
          </w:p>
        </w:tc>
      </w:tr>
      <w:tr>
        <w:tc>
          <w:tcPr>
            <w:vAlign w:val="center"/>
            <w:shd w:val="clear" w:color="auto" w:fill="E6E6E6"/>
          </w:tcPr>
          <w:p>
            <w:pPr/>
            <w:r>
              <w:t>卧室的分户楼板</w:t>
            </w:r>
          </w:p>
        </w:tc>
        <w:tc>
          <w:tcPr>
            <w:vAlign w:val="center"/>
          </w:tcPr>
          <w:p>
            <w:pPr/>
            <w:r>
              <w:rPr>
                <w:b/>
                <w:color w:val="FF0000"/>
              </w:rPr>
              <w:t>84</w:t>
            </w:r>
          </w:p>
        </w:tc>
        <w:tc>
          <w:tcPr>
            <w:vAlign w:val="center"/>
          </w:tcPr>
          <w:p>
            <w:pPr/>
            <w:r>
              <w:t>低限:&lt;75,高要求:&lt;65</w:t>
            </w:r>
          </w:p>
        </w:tc>
        <w:tc>
          <w:tcPr>
            <w:vAlign w:val="center"/>
          </w:tcPr>
          <w:p>
            <w:pPr/>
            <w:r>
              <w:rPr>
                <w:b/>
                <w:color w:val="FF0000"/>
              </w:rPr>
              <w:t>不满足</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30</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color w:val="FF0000"/>
              </w:rPr>
              <w:t>不满足</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84</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color w:val="FF0000"/>
              </w:rPr>
              <w:t>不满足</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满足低限要求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0</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color w:val="FF0000"/>
              </w:rPr>
              <w:t>不满足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color w:val="FF0000"/>
              </w:rPr>
              <w:t>不满足</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0</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color w:val="FF0000"/>
              </w:rPr>
              <w:t>不满足</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472778b7-d774-46b2-b6e8-e31f9867d2d0.png" Id="R8d5c82e5720140ba" /><Relationship Type="http://schemas.openxmlformats.org/officeDocument/2006/relationships/image" Target="/word/media/fc73949a-7f1b-49fb-bf2a-275d3050d36f.jpg" Id="R0f00142e3eb44fae"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