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132" w:name="_GoBack"/>
      <w:bookmarkEnd w:id="132"/>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卢屋村选取室外风场模拟</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赣州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01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建筑191</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2021年11月18日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"_Toc88151344"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_Toc88151344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"_Toc88151345"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总平面图</w:t>
      </w:r>
      <w:r>
        <w:tab/>
      </w:r>
      <w:r>
        <w:fldChar w:fldCharType="begin"/>
      </w:r>
      <w:r>
        <w:instrText xml:space="preserve"> PAGEREF _Toc88151345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"_Toc88151346"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_Toc88151346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"_Toc88151347"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_Toc88151347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"_Toc88151348"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_Toc88151348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"_Toc88151349"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计算原理</w:t>
      </w:r>
      <w:r>
        <w:tab/>
      </w:r>
      <w:r>
        <w:fldChar w:fldCharType="begin"/>
      </w:r>
      <w:r>
        <w:instrText xml:space="preserve"> PAGEREF _Toc88151349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"_Toc88151350" </w:instrText>
      </w:r>
      <w:r>
        <w:fldChar w:fldCharType="separate"/>
      </w:r>
      <w:r>
        <w:rPr>
          <w:rStyle w:val="26"/>
          <w:lang w:val="en-GB"/>
        </w:rPr>
        <w:t>4.1</w:t>
      </w:r>
      <w:r>
        <w:rPr>
          <w:rFonts w:asciiTheme="minorHAnsi" w:hAnsiTheme="minorHAnsi" w:eastAsiaTheme="minorEastAsia" w:cstheme="minorBidi"/>
          <w:szCs w:val="22"/>
        </w:rPr>
        <w:tab/>
      </w:r>
      <w:r>
        <w:rPr>
          <w:rStyle w:val="26"/>
          <w:rFonts w:hint="eastAsia"/>
        </w:rPr>
        <w:t>风场计算域</w:t>
      </w:r>
      <w:r>
        <w:tab/>
      </w:r>
      <w:r>
        <w:fldChar w:fldCharType="begin"/>
      </w:r>
      <w:r>
        <w:instrText xml:space="preserve"> PAGEREF _Toc88151350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"_Toc88151351"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冬季工况风场计算域</w:t>
      </w:r>
      <w:r>
        <w:tab/>
      </w:r>
      <w:r>
        <w:fldChar w:fldCharType="begin"/>
      </w:r>
      <w:r>
        <w:instrText xml:space="preserve"> PAGEREF _Toc88151351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"_Toc88151352" </w:instrText>
      </w:r>
      <w:r>
        <w:fldChar w:fldCharType="separate"/>
      </w:r>
      <w:r>
        <w:rPr>
          <w:rStyle w:val="26"/>
          <w:lang w:val="en-GB"/>
        </w:rPr>
        <w:t>4.2</w:t>
      </w:r>
      <w:r>
        <w:rPr>
          <w:rFonts w:asciiTheme="minorHAnsi" w:hAnsiTheme="minorHAnsi" w:eastAsiaTheme="minorEastAsia" w:cstheme="minorBidi"/>
          <w:szCs w:val="22"/>
        </w:rPr>
        <w:tab/>
      </w:r>
      <w:r>
        <w:rPr>
          <w:rStyle w:val="26"/>
          <w:rFonts w:hint="eastAsia"/>
        </w:rPr>
        <w:t>网格划分</w:t>
      </w:r>
      <w:r>
        <w:tab/>
      </w:r>
      <w:r>
        <w:fldChar w:fldCharType="begin"/>
      </w:r>
      <w:r>
        <w:instrText xml:space="preserve"> PAGEREF _Toc88151352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"_Toc88151353" </w:instrText>
      </w:r>
      <w:r>
        <w:fldChar w:fldCharType="separate"/>
      </w:r>
      <w:r>
        <w:rPr>
          <w:rStyle w:val="26"/>
          <w:lang w:val="en-GB"/>
        </w:rPr>
        <w:t>4.3</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_Toc88151353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"_Toc88151354" </w:instrText>
      </w:r>
      <w:r>
        <w:fldChar w:fldCharType="separate"/>
      </w:r>
      <w:r>
        <w:rPr>
          <w:rStyle w:val="26"/>
          <w:lang w:val="en-GB"/>
        </w:rPr>
        <w:t>4.3.1</w:t>
      </w:r>
      <w:r>
        <w:rPr>
          <w:rFonts w:asciiTheme="minorHAnsi" w:hAnsiTheme="minorHAnsi" w:eastAsiaTheme="minorEastAsia" w:cstheme="minorBidi"/>
          <w:szCs w:val="22"/>
        </w:rPr>
        <w:tab/>
      </w:r>
      <w:r>
        <w:rPr>
          <w:rStyle w:val="26"/>
          <w:rFonts w:hint="eastAsia"/>
        </w:rPr>
        <w:t>入口与出口边界条件</w:t>
      </w:r>
      <w:r>
        <w:tab/>
      </w:r>
      <w:r>
        <w:fldChar w:fldCharType="begin"/>
      </w:r>
      <w:r>
        <w:instrText xml:space="preserve"> PAGEREF _Toc88151354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"_Toc88151355" </w:instrText>
      </w:r>
      <w:r>
        <w:fldChar w:fldCharType="separate"/>
      </w:r>
      <w:r>
        <w:rPr>
          <w:rStyle w:val="26"/>
          <w:lang w:val="en-GB"/>
        </w:rPr>
        <w:t>4.3.2</w:t>
      </w:r>
      <w:r>
        <w:rPr>
          <w:rFonts w:asciiTheme="minorHAnsi" w:hAnsiTheme="minorHAnsi" w:eastAsiaTheme="minorEastAsia" w:cstheme="minorBidi"/>
          <w:szCs w:val="22"/>
        </w:rPr>
        <w:tab/>
      </w:r>
      <w:r>
        <w:rPr>
          <w:rStyle w:val="26"/>
          <w:rFonts w:hint="eastAsia"/>
        </w:rPr>
        <w:t>壁面边界条件</w:t>
      </w:r>
      <w:r>
        <w:tab/>
      </w:r>
      <w:r>
        <w:fldChar w:fldCharType="begin"/>
      </w:r>
      <w:r>
        <w:instrText xml:space="preserve"> PAGEREF _Toc88151355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"_Toc88151356" </w:instrText>
      </w:r>
      <w:r>
        <w:fldChar w:fldCharType="separate"/>
      </w:r>
      <w:r>
        <w:rPr>
          <w:rStyle w:val="26"/>
          <w:lang w:val="en-GB"/>
        </w:rPr>
        <w:t>4.4</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_Toc88151356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"_Toc88151357" </w:instrText>
      </w:r>
      <w:r>
        <w:fldChar w:fldCharType="separate"/>
      </w:r>
      <w:r>
        <w:rPr>
          <w:rStyle w:val="26"/>
          <w:lang w:val="en-GB"/>
        </w:rPr>
        <w:t>4.5</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_Toc88151357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"_Toc88151358" </w:instrText>
      </w:r>
      <w:r>
        <w:fldChar w:fldCharType="separate"/>
      </w:r>
      <w:r>
        <w:rPr>
          <w:rStyle w:val="26"/>
          <w:lang w:val="en-GB"/>
        </w:rPr>
        <w:t>4.6</w:t>
      </w:r>
      <w:r>
        <w:rPr>
          <w:rFonts w:asciiTheme="minorHAnsi" w:hAnsiTheme="minorHAnsi" w:eastAsiaTheme="minorEastAsia" w:cstheme="minorBidi"/>
          <w:szCs w:val="22"/>
        </w:rPr>
        <w:tab/>
      </w:r>
      <w:r>
        <w:rPr>
          <w:rStyle w:val="26"/>
          <w:rFonts w:hint="eastAsia"/>
        </w:rPr>
        <w:t>风速放大系数计算</w:t>
      </w:r>
      <w:r>
        <w:tab/>
      </w:r>
      <w:r>
        <w:fldChar w:fldCharType="begin"/>
      </w:r>
      <w:r>
        <w:instrText xml:space="preserve"> PAGEREF _Toc88151358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"_Toc88151359"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_Toc88151359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"_Toc88151360"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工况表</w:t>
      </w:r>
      <w:r>
        <w:tab/>
      </w:r>
      <w:r>
        <w:fldChar w:fldCharType="begin"/>
      </w:r>
      <w:r>
        <w:instrText xml:space="preserve"> PAGEREF _Toc88151360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"_Toc88151361"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冬季工况</w:t>
      </w:r>
      <w:r>
        <w:tab/>
      </w:r>
      <w:r>
        <w:fldChar w:fldCharType="begin"/>
      </w:r>
      <w:r>
        <w:instrText xml:space="preserve"> PAGEREF _Toc88151361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"_Toc88151362"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风速达标分析</w:t>
      </w:r>
      <w:r>
        <w:tab/>
      </w:r>
      <w:r>
        <w:fldChar w:fldCharType="begin"/>
      </w:r>
      <w:r>
        <w:instrText xml:space="preserve"> PAGEREF _Toc88151362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"_Toc88151363"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风速放大系数达标分析</w:t>
      </w:r>
      <w:r>
        <w:tab/>
      </w:r>
      <w:r>
        <w:fldChar w:fldCharType="begin"/>
      </w:r>
      <w:r>
        <w:instrText xml:space="preserve"> PAGEREF _Toc88151363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"_Toc88151364"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cs="宋体"/>
          <w:lang w:val="en-GB"/>
        </w:rPr>
        <w:t>人行区域</w:t>
      </w:r>
      <w:r>
        <w:rPr>
          <w:rStyle w:val="26"/>
          <w:rFonts w:hint="eastAsia"/>
        </w:rPr>
        <w:t>冬季工况风速</w:t>
      </w:r>
      <w:r>
        <w:rPr>
          <w:rStyle w:val="26"/>
        </w:rPr>
        <w:t>/</w:t>
      </w:r>
      <w:r>
        <w:rPr>
          <w:rStyle w:val="26"/>
          <w:rFonts w:hint="eastAsia"/>
        </w:rPr>
        <w:t>风速放大系数达标判定</w:t>
      </w:r>
      <w:r>
        <w:tab/>
      </w:r>
      <w:r>
        <w:fldChar w:fldCharType="begin"/>
      </w:r>
      <w:r>
        <w:instrText xml:space="preserve"> PAGEREF _Toc88151364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"_Toc88151365" </w:instrText>
      </w:r>
      <w:r>
        <w:fldChar w:fldCharType="separate"/>
      </w:r>
      <w:r>
        <w:rPr>
          <w:rStyle w:val="26"/>
          <w:lang w:val="en-GB"/>
        </w:rPr>
        <w:t>5.2.4</w:t>
      </w:r>
      <w:r>
        <w:rPr>
          <w:rFonts w:asciiTheme="minorHAnsi" w:hAnsiTheme="minorHAnsi" w:eastAsiaTheme="minorEastAsia" w:cstheme="minorBidi"/>
          <w:szCs w:val="22"/>
        </w:rPr>
        <w:tab/>
      </w:r>
      <w:r>
        <w:rPr>
          <w:rStyle w:val="26"/>
          <w:rFonts w:hint="eastAsia"/>
        </w:rPr>
        <w:t>建筑迎风面和背风面风压分析</w:t>
      </w:r>
      <w:r>
        <w:tab/>
      </w:r>
      <w:r>
        <w:fldChar w:fldCharType="begin"/>
      </w:r>
      <w:r>
        <w:instrText xml:space="preserve"> PAGEREF _Toc88151365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"_Toc88151366"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结论</w:t>
      </w:r>
      <w:r>
        <w:tab/>
      </w:r>
      <w:r>
        <w:fldChar w:fldCharType="begin"/>
      </w:r>
      <w:r>
        <w:instrText xml:space="preserve"> PAGEREF _Toc88151366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"_Toc88151367" </w:instrText>
      </w:r>
      <w:r>
        <w:fldChar w:fldCharType="separate"/>
      </w:r>
      <w:r>
        <w:rPr>
          <w:rStyle w:val="26"/>
          <w:lang w:val="en-GB"/>
        </w:rPr>
        <w:t>5.3.1</w:t>
      </w:r>
      <w:r>
        <w:rPr>
          <w:rFonts w:asciiTheme="minorHAnsi" w:hAnsiTheme="minorHAnsi" w:eastAsiaTheme="minorEastAsia" w:cstheme="minorBidi"/>
          <w:szCs w:val="22"/>
        </w:rPr>
        <w:tab/>
      </w:r>
      <w:r>
        <w:rPr>
          <w:rStyle w:val="26"/>
          <w:rFonts w:hint="eastAsia"/>
        </w:rPr>
        <w:t>冬季工况达标判断</w:t>
      </w:r>
      <w:r>
        <w:tab/>
      </w:r>
      <w:r>
        <w:fldChar w:fldCharType="begin"/>
      </w:r>
      <w:r>
        <w:instrText xml:space="preserve"> PAGEREF _Toc88151367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88151344"/>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88151345"/>
      <w:bookmarkStart w:id="12" w:name="_Toc452108760"/>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rPr>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88151346"/>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rPr>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88151347"/>
      <w:bookmarkStart w:id="21" w:name="_Toc452108762"/>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2" w:name="_Toc88151348"/>
      <w:bookmarkStart w:id="23" w:name="_Toc452108763"/>
      <w:r>
        <w:rPr>
          <w:rFonts w:hint="eastAsia"/>
        </w:rPr>
        <w:t>参考</w:t>
      </w:r>
      <w:r>
        <w:t>标准</w:t>
      </w:r>
      <w:bookmarkEnd w:id="22"/>
      <w:bookmarkEnd w:id="23"/>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7" w:name="_Toc88151349"/>
      <w:r>
        <w:rPr>
          <w:rFonts w:hint="eastAsia"/>
        </w:rPr>
        <w:t>计算原理</w:t>
      </w:r>
      <w:bookmarkEnd w:id="24"/>
      <w:bookmarkEnd w:id="25"/>
      <w:bookmarkEnd w:id="27"/>
    </w:p>
    <w:p>
      <w:pPr>
        <w:pStyle w:val="4"/>
        <w:numPr>
          <w:ilvl w:val="1"/>
          <w:numId w:val="3"/>
        </w:numPr>
      </w:pPr>
      <w:bookmarkStart w:id="28" w:name="_Toc88151350"/>
      <w:bookmarkStart w:id="29" w:name="_Toc509844740"/>
      <w:bookmarkStart w:id="30" w:name="_Toc451698937"/>
      <w:bookmarkStart w:id="31" w:name="_Toc452108765"/>
      <w:r>
        <w:rPr>
          <w:rFonts w:hint="eastAsia"/>
        </w:rPr>
        <w:t>风场计算域</w:t>
      </w:r>
      <w:bookmarkEnd w:id="28"/>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_Toc88151351"/>
      <w:r>
        <w:rPr>
          <w:rFonts w:hint="eastAsia"/>
        </w:rPr>
        <w:t>冬季工况风场计算域</w:t>
      </w:r>
      <w:bookmarkEnd w:id="3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3" w:name="季节2"/>
      <w:r>
        <w:rPr>
          <w:rFonts w:hint="eastAsia" w:ascii="黑体" w:hAnsi="黑体" w:eastAsia="黑体"/>
          <w:sz w:val="20"/>
          <w:szCs w:val="20"/>
        </w:rPr>
        <w:t>冬季</w:t>
      </w:r>
      <w:bookmarkEnd w:id="3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335</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320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111</w:t>
            </w:r>
            <w:bookmarkEnd w:id="36"/>
          </w:p>
        </w:tc>
      </w:tr>
    </w:tbl>
    <w:p>
      <w:pPr>
        <w:pStyle w:val="3"/>
        <w:ind w:firstLine="0" w:firstLineChars="0"/>
        <w:jc w:val="center"/>
        <w:rPr>
          <w:lang w:val="en-US"/>
        </w:rPr>
      </w:pPr>
      <w:bookmarkStart w:id="37" w:name="冬季工况风场计算域图示"/>
      <w:bookmarkEnd w:id="37"/>
      <w:r>
        <w:rPr>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8" w:name="季节3"/>
      <w:r>
        <w:rPr>
          <w:rFonts w:hint="eastAsia" w:ascii="黑体" w:hAnsi="黑体"/>
        </w:rPr>
        <w:t>冬季</w:t>
      </w:r>
      <w:bookmarkEnd w:id="38"/>
      <w:r>
        <w:rPr>
          <w:rFonts w:hint="eastAsia"/>
        </w:rPr>
        <w:t>工况风场计算域图示</w:t>
      </w:r>
      <w:r>
        <w:rPr>
          <w:rFonts w:hint="eastAsia"/>
          <w:szCs w:val="21"/>
          <w:lang w:val="en-US"/>
        </w:rPr>
        <w:t xml:space="preserve"> </w:t>
      </w:r>
    </w:p>
    <w:p>
      <w:pPr>
        <w:pStyle w:val="3"/>
        <w:ind w:firstLine="315" w:firstLineChars="150"/>
        <w:rPr>
          <w:lang w:val="en-US"/>
        </w:rPr>
      </w:pPr>
      <w:bookmarkStart w:id="39" w:name="计算域"/>
      <w:bookmarkEnd w:id="3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0" w:name="_Toc509844741"/>
      <w:bookmarkStart w:id="41" w:name="_Toc88151352"/>
      <w:r>
        <w:rPr>
          <w:rFonts w:hint="eastAsia"/>
        </w:rPr>
        <w:t>网格划分</w:t>
      </w:r>
      <w:bookmarkEnd w:id="40"/>
      <w:bookmarkEnd w:id="4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2" w:name="OLE_LINK276"/>
      <w:bookmarkStart w:id="43" w:name="OLE_LINK277"/>
      <w:r>
        <w:rPr>
          <w:rFonts w:hint="eastAsia"/>
        </w:rPr>
        <w:t>1）普通网格：指除靠近地面和建筑以外的网格，通常不需要特别加密处理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2"/>
      <w:bookmarkEnd w:id="4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5" w:name="季节1"/>
      <w:r>
        <w:rPr>
          <w:rFonts w:hint="eastAsia" w:ascii="黑体" w:hAnsi="黑体"/>
        </w:rPr>
        <w:t>冬季</w:t>
      </w:r>
      <w:bookmarkEnd w:id="45"/>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6" w:name="冬季网格总数"/>
            <w:r>
              <w:t>229129</w:t>
            </w:r>
            <w:bookmarkEnd w:id="4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分弧精度"/>
            <w:r>
              <w:t>0.24</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初始网格"/>
            <w:r>
              <w:t>8.0</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最小细分级数"/>
            <w:r>
              <w:t>1</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最大细分级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远场细分级数"/>
            <w:r>
              <w:t>1</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近场细分级数"/>
            <w:r>
              <w:t>2</w:t>
            </w:r>
            <w:bookmarkEnd w:id="52"/>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地面附面层数"/>
            <w:r>
              <w:t>2</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建筑附面层数"/>
            <w:r>
              <w:t>0</w:t>
            </w:r>
            <w:bookmarkEnd w:id="54"/>
          </w:p>
        </w:tc>
      </w:tr>
    </w:tbl>
    <w:p>
      <w:pPr>
        <w:rPr>
          <w:szCs w:val="21"/>
          <w:lang w:val="en-US"/>
        </w:rPr>
      </w:pPr>
    </w:p>
    <w:p>
      <w:pPr>
        <w:pStyle w:val="3"/>
        <w:ind w:firstLine="630" w:firstLineChars="300"/>
        <w:rPr>
          <w:rFonts w:ascii="黑体" w:hAnsi="黑体" w:eastAsia="黑体"/>
          <w:szCs w:val="20"/>
        </w:rPr>
      </w:pPr>
      <w:bookmarkStart w:id="55" w:name="网格划分信息"/>
      <w:bookmarkEnd w:id="55"/>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6" w:name="_Toc88151353"/>
      <w:bookmarkStart w:id="57" w:name="_Toc509844742"/>
      <w:r>
        <w:rPr>
          <w:rFonts w:hint="eastAsia"/>
        </w:rPr>
        <w:t>边界条件</w:t>
      </w:r>
      <w:bookmarkEnd w:id="56"/>
      <w:bookmarkEnd w:id="57"/>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8" w:name="_Toc88151354"/>
      <w:bookmarkStart w:id="59" w:name="_Toc509844743"/>
      <w:r>
        <w:rPr>
          <w:rFonts w:hint="eastAsia"/>
        </w:rPr>
        <w:t>入口与出口边界条件</w:t>
      </w:r>
      <w:bookmarkEnd w:id="58"/>
      <w:bookmarkEnd w:id="59"/>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1.4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6pt;width:14.4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0" w:name="地面粗糙度指数2"/>
      <w:r>
        <w:rPr>
          <w:rFonts w:hint="eastAsia"/>
          <w:lang w:val="en-US"/>
        </w:rPr>
        <w:t>0.28</w:t>
      </w:r>
      <w:bookmarkEnd w:id="60"/>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1" w:name="_Toc509844744"/>
      <w:bookmarkStart w:id="62" w:name="_Toc88151355"/>
      <w:r>
        <w:rPr>
          <w:rFonts w:hint="eastAsia"/>
        </w:rPr>
        <w:t>壁面边界条件</w:t>
      </w:r>
      <w:bookmarkEnd w:id="61"/>
      <w:bookmarkEnd w:id="62"/>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3" w:name="_Toc88151356"/>
      <w:r>
        <w:rPr>
          <w:rFonts w:hint="eastAsia"/>
        </w:rPr>
        <w:t>湍流模型</w:t>
      </w:r>
      <w:bookmarkEnd w:id="30"/>
      <w:bookmarkEnd w:id="31"/>
      <w:bookmarkEnd w:id="63"/>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4" w:name="_Toc451698939"/>
      <w:bookmarkStart w:id="65" w:name="_Toc452108767"/>
      <w:bookmarkStart w:id="66" w:name="_Toc88151357"/>
      <w:r>
        <w:rPr>
          <w:rFonts w:hint="eastAsia"/>
        </w:rPr>
        <w:t>求解计算</w:t>
      </w:r>
      <w:bookmarkEnd w:id="64"/>
      <w:bookmarkEnd w:id="65"/>
      <w:bookmarkEnd w:id="6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7"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7"/>
      <w:r>
        <w:rPr>
          <w:rFonts w:hint="eastAsia" w:ascii="黑体" w:hAnsi="黑体" w:eastAsia="黑体"/>
          <w:sz w:val="20"/>
          <w:szCs w:val="20"/>
        </w:rPr>
        <w:t xml:space="preserve"> </w:t>
      </w:r>
      <w:bookmarkStart w:id="68" w:name="_Ref225175618"/>
      <w:r>
        <w:rPr>
          <w:rFonts w:hint="eastAsia" w:ascii="黑体" w:hAnsi="黑体" w:eastAsia="黑体"/>
          <w:sz w:val="20"/>
          <w:szCs w:val="20"/>
        </w:rPr>
        <w:t>计算流体力学的控制方程</w:t>
      </w:r>
      <w:bookmarkEnd w:id="6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69" w:name="_Toc509844747"/>
      <w:bookmarkStart w:id="70" w:name="_Toc88151358"/>
      <w:r>
        <w:rPr>
          <w:rFonts w:hint="eastAsia"/>
        </w:rPr>
        <w:t>风速放大系数计算</w:t>
      </w:r>
      <w:bookmarkEnd w:id="69"/>
      <w:bookmarkEnd w:id="7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6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4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4pt;width:20.4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2" w:name="_Toc452108768"/>
      <w:bookmarkStart w:id="73" w:name="_Toc88151359"/>
      <w:r>
        <w:rPr>
          <w:rFonts w:hint="eastAsia"/>
        </w:rPr>
        <w:t>结果</w:t>
      </w:r>
      <w:r>
        <w:t>分析</w:t>
      </w:r>
      <w:bookmarkEnd w:id="72"/>
      <w:bookmarkEnd w:id="73"/>
    </w:p>
    <w:p>
      <w:pPr>
        <w:pStyle w:val="4"/>
        <w:rPr>
          <w:szCs w:val="21"/>
        </w:rPr>
      </w:pPr>
      <w:bookmarkStart w:id="74" w:name="_Toc88151360"/>
      <w:r>
        <w:rPr>
          <w:rFonts w:hint="eastAsia"/>
          <w:szCs w:val="21"/>
        </w:rPr>
        <w:t>工况</w:t>
      </w:r>
      <w:r>
        <w:rPr>
          <w:szCs w:val="21"/>
        </w:rPr>
        <w:t>表</w:t>
      </w:r>
      <w:bookmarkEnd w:id="74"/>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5"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7.00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75"/>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6" w:name="_Toc88151361"/>
      <w:bookmarkStart w:id="77" w:name="_Toc509844750"/>
      <w:r>
        <w:rPr>
          <w:rFonts w:hint="eastAsia"/>
        </w:rPr>
        <w:t>冬季工况</w:t>
      </w:r>
      <w:bookmarkEnd w:id="76"/>
      <w:bookmarkEnd w:id="77"/>
    </w:p>
    <w:p>
      <w:pPr>
        <w:ind w:firstLine="420" w:firstLineChars="200"/>
        <w:jc w:val="both"/>
      </w:pPr>
      <w:r>
        <w:rPr>
          <w:rFonts w:hint="eastAsia"/>
          <w:lang w:val="en-US"/>
        </w:rPr>
        <w:t>本项目冬季工况的入口边界风速为</w:t>
      </w:r>
      <w:bookmarkStart w:id="78" w:name="冬季入口边界风速"/>
      <w:r>
        <w:rPr>
          <w:rFonts w:hint="eastAsia" w:ascii="Calibri" w:hAnsi="Calibri"/>
          <w:szCs w:val="21"/>
        </w:rPr>
        <w:t>7.00</w:t>
      </w:r>
      <w:bookmarkEnd w:id="78"/>
      <w:r>
        <w:rPr>
          <w:rFonts w:ascii="Calibri" w:hAnsi="Calibri"/>
          <w:szCs w:val="21"/>
        </w:rPr>
        <w:t>m/s</w:t>
      </w:r>
      <w:r>
        <w:rPr>
          <w:rFonts w:hint="eastAsia" w:ascii="Calibri" w:hAnsi="Calibri"/>
          <w:szCs w:val="21"/>
        </w:rPr>
        <w:t>，风向为</w:t>
      </w:r>
      <w:bookmarkStart w:id="79" w:name="冬季入口边界风向"/>
      <w:r>
        <w:rPr>
          <w:szCs w:val="21"/>
        </w:rPr>
        <w:t>NE</w:t>
      </w:r>
      <w:bookmarkEnd w:id="79"/>
      <w:r>
        <w:rPr>
          <w:rFonts w:hint="eastAsia"/>
          <w:szCs w:val="21"/>
        </w:rPr>
        <w:t>。</w:t>
      </w:r>
    </w:p>
    <w:p>
      <w:pPr>
        <w:pStyle w:val="5"/>
      </w:pPr>
      <w:bookmarkStart w:id="80" w:name="_Toc509844751"/>
      <w:bookmarkStart w:id="81" w:name="_Toc88151362"/>
      <w:r>
        <w:rPr>
          <w:rFonts w:hint="eastAsia"/>
        </w:rPr>
        <w:t>风速达标分析</w:t>
      </w:r>
      <w:bookmarkEnd w:id="80"/>
      <w:bookmarkEnd w:id="81"/>
      <w:r>
        <w:rPr>
          <w:rFonts w:hint="eastAsia"/>
        </w:rPr>
        <w:t xml:space="preserve"> </w:t>
      </w:r>
    </w:p>
    <w:p>
      <w:pPr>
        <w:pStyle w:val="6"/>
      </w:pPr>
      <w:r>
        <w:t>人行区域风速达标分析</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2" w:name="冬季工况人行区风速分析结论"/>
      <w:bookmarkEnd w:id="82"/>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3" w:name="冬季工况人行区风速云图"/>
      <w:bookmarkEnd w:id="83"/>
      <w:r>
        <w:rPr>
          <w:lang w:val="en-US"/>
        </w:rP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671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84" w:name="冬季工况风速分析结论"/>
      <w:r>
        <w:t>建筑周围没有风速超限区域，可以采用该建筑布局。</w:t>
      </w:r>
      <w:bookmarkEnd w:id="84"/>
    </w:p>
    <w:p>
      <w:pPr>
        <w:pStyle w:val="3"/>
        <w:ind w:hanging="2" w:firstLineChars="0"/>
        <w:jc w:val="center"/>
        <w:rPr>
          <w:rFonts w:ascii="Calibri Light" w:hAnsi="Calibri Light" w:eastAsia="黑体"/>
          <w:sz w:val="20"/>
          <w:szCs w:val="20"/>
        </w:rPr>
      </w:pPr>
      <w:bookmarkStart w:id="85" w:name="冬季工况风速云图"/>
      <w:bookmarkEnd w:id="85"/>
      <w:r>
        <w:rPr>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6" w:name="_Toc509844752"/>
      <w:bookmarkStart w:id="87" w:name="_Toc88151363"/>
      <w:r>
        <w:rPr>
          <w:rFonts w:hint="eastAsia"/>
        </w:rPr>
        <w:t>风速放大系数达标分析</w:t>
      </w:r>
      <w:bookmarkEnd w:id="86"/>
      <w:bookmarkEnd w:id="87"/>
    </w:p>
    <w:p>
      <w:pPr>
        <w:pStyle w:val="6"/>
      </w:pPr>
      <w:r>
        <w:rPr>
          <w:rFonts w:hint="eastAsia"/>
        </w:rPr>
        <w:t>人行区域</w:t>
      </w:r>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8" w:name="冬季工况人行区风速放大系数分析结论"/>
      <w:bookmarkEnd w:id="88"/>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89" w:name="冬季工况人行区风速放大系数云图"/>
      <w:bookmarkEnd w:id="89"/>
      <w:r>
        <w:rPr>
          <w:lang w:val="en-US"/>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4290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90" w:name="冬季工况风速放大系数分析结论"/>
      <w:r>
        <w:t>建筑周围没有风速放大系数超限区域，可以采用该建筑布局。</w:t>
      </w:r>
      <w:bookmarkEnd w:id="90"/>
    </w:p>
    <w:p>
      <w:pPr>
        <w:pStyle w:val="13"/>
        <w:jc w:val="center"/>
        <w:rPr>
          <w:lang w:val="en-US"/>
        </w:rPr>
      </w:pPr>
      <w:bookmarkStart w:id="91" w:name="冬季工况风速放大系数云图"/>
      <w:bookmarkEnd w:id="91"/>
      <w:r>
        <w:rPr>
          <w:lang w:val="en-US"/>
        </w:rPr>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92" w:name="_Toc509844753"/>
      <w:bookmarkStart w:id="93" w:name="_Toc88151364"/>
      <w:r>
        <w:rPr>
          <w:rFonts w:hint="eastAsia" w:cs="宋体"/>
          <w:lang w:val="en-GB"/>
        </w:rPr>
        <w:t>人行区域</w:t>
      </w:r>
      <w:r>
        <w:rPr>
          <w:rFonts w:hint="eastAsia"/>
        </w:rPr>
        <w:t>冬季工况风速/风速放大系数达标判定</w:t>
      </w:r>
      <w:bookmarkEnd w:id="92"/>
      <w:bookmarkEnd w:id="9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94" w:name="冬季工况风速要求2019"/>
            <w:r>
              <w:rPr>
                <w:rFonts w:hint="eastAsia" w:ascii="宋体" w:hAnsi="宋体" w:cs="宋体"/>
                <w:szCs w:val="21"/>
              </w:rPr>
              <w:t xml:space="preserve">或 </w:t>
            </w:r>
            <w:r>
              <w:rPr>
                <w:rFonts w:ascii="宋体" w:hAnsi="宋体" w:cs="宋体"/>
                <w:szCs w:val="21"/>
              </w:rPr>
              <w:t>&lt;2m/s</w:t>
            </w:r>
            <w:bookmarkEnd w:id="9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5" w:name="冬季工况风速是否有超限区域"/>
            <w:r>
              <w:rPr>
                <w:rFonts w:hint="eastAsia" w:ascii="宋体" w:hAnsi="宋体" w:cs="宋体"/>
                <w:color w:val="000000"/>
                <w:sz w:val="22"/>
                <w:szCs w:val="22"/>
                <w:lang w:val="en-US"/>
              </w:rPr>
              <w:t>否</w:t>
            </w:r>
            <w:bookmarkEnd w:id="9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6" w:name="冬季工况风速达标判断"/>
            <w:r>
              <w:rPr>
                <w:rFonts w:hint="eastAsia" w:ascii="宋体" w:hAnsi="宋体" w:cs="宋体"/>
                <w:color w:val="000000"/>
                <w:sz w:val="22"/>
                <w:szCs w:val="22"/>
                <w:lang w:val="en-US"/>
              </w:rPr>
              <w:t>是</w:t>
            </w:r>
            <w:bookmarkEnd w:id="9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7" w:name="冬季工况风速放大系数是否有超限区域"/>
            <w:r>
              <w:rPr>
                <w:rFonts w:hint="eastAsia" w:ascii="宋体" w:hAnsi="宋体" w:cs="宋体"/>
                <w:color w:val="000000"/>
                <w:sz w:val="22"/>
                <w:szCs w:val="22"/>
                <w:lang w:val="en-US"/>
              </w:rPr>
              <w:t>否</w:t>
            </w:r>
            <w:bookmarkEnd w:id="9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8" w:name="冬季工况风速放大系数达标判断"/>
            <w:r>
              <w:rPr>
                <w:rFonts w:hint="eastAsia" w:ascii="宋体" w:hAnsi="宋体" w:cs="宋体"/>
                <w:color w:val="000000"/>
                <w:sz w:val="22"/>
                <w:szCs w:val="22"/>
                <w:lang w:val="en-US"/>
              </w:rPr>
              <w:t>是</w:t>
            </w:r>
            <w:bookmarkEnd w:id="98"/>
          </w:p>
        </w:tc>
      </w:tr>
    </w:tbl>
    <w:p>
      <w:pPr>
        <w:pStyle w:val="5"/>
      </w:pPr>
      <w:bookmarkStart w:id="99" w:name="_Toc509844756"/>
      <w:bookmarkEnd w:id="99"/>
      <w:bookmarkStart w:id="100" w:name="_Toc509844754"/>
      <w:bookmarkEnd w:id="100"/>
      <w:bookmarkStart w:id="101" w:name="_Toc509844755"/>
      <w:bookmarkEnd w:id="101"/>
      <w:bookmarkStart w:id="102" w:name="_Toc509844757"/>
      <w:bookmarkEnd w:id="102"/>
      <w:bookmarkStart w:id="103" w:name="_Toc88151365"/>
      <w:bookmarkStart w:id="104" w:name="_Toc509844758"/>
      <w:r>
        <w:rPr>
          <w:rFonts w:hint="eastAsia"/>
        </w:rPr>
        <w:t>建筑迎风面和背风面风压分析</w:t>
      </w:r>
      <w:bookmarkEnd w:id="103"/>
      <w:bookmarkEnd w:id="10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5" w:name="冬季工况建筑迎风面风压云图"/>
      <w:bookmarkEnd w:id="105"/>
      <w:r>
        <w:rPr>
          <w:lang w:val="en-US"/>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4"/>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06" w:name="冬季工况建筑背风面风压云图"/>
      <w:bookmarkEnd w:id="106"/>
      <w:r>
        <w:rPr>
          <w:lang w:val="en-US"/>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5"/>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07"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&lt;未命名&gt;(5号平面_T7)</w:t>
      </w:r>
      <w:bookmarkEnd w:id="108"/>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-5.88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-6.70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-3.73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-6.39</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2.66</w:t>
            </w:r>
          </w:p>
        </w:tc>
      </w:tr>
    </w:tbl>
    <w:p>
      <w:bookmarkStart w:id="109" w:name="结论"/>
      <w:bookmarkEnd w:id="109"/>
      <w:r>
        <w:t>标准要求：迎背风面窗平均风压差（绝对值）≤5Pa。结论：该楼</w:t>
      </w:r>
      <w:r>
        <w:rPr>
          <w:b/>
          <w:color w:val="0000FF"/>
        </w:rPr>
        <w:t>达标</w:t>
      </w:r>
      <w:r>
        <w:t>。</w:t>
      </w:r>
    </w:p>
    <w:bookmarkEnd w:id="107"/>
    <w:p>
      <w:pPr>
        <w:jc w:val="center"/>
        <w:rPr>
          <w:rFonts w:ascii="Cambria" w:hAnsi="Cambria" w:eastAsia="黑体"/>
          <w:sz w:val="20"/>
        </w:rPr>
      </w:pPr>
      <w:bookmarkStart w:id="110" w:name="建筑迎背风面风压差表_新增"/>
      <w:bookmarkEnd w:id="110"/>
      <w:bookmarkStart w:id="111" w:name="建筑迎背风面风压差表"/>
    </w:p>
    <w:bookmarkEnd w:id="111"/>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2"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&lt;未命名&gt;(5号平面_T7)</w:t>
            </w:r>
          </w:p>
        </w:tc>
        <w:tc>
          <w:tcPr>
            <w:tcW w:w="1276" w:type="dxa"/>
            <w:shd w:val="clear" w:color="auto" w:fill="auto"/>
            <w:vAlign w:val="center"/>
          </w:tcPr>
          <w:p>
            <w:pPr>
              <w:jc w:val="center"/>
              <w:rPr>
                <w:lang w:val="en-US"/>
              </w:rPr>
            </w:pPr>
            <w:r>
              <w:rPr>
                <w:lang w:val="en-US"/>
              </w:rPr>
              <w:t>-3.73</w:t>
            </w:r>
          </w:p>
        </w:tc>
        <w:tc>
          <w:tcPr>
            <w:tcW w:w="1276" w:type="dxa"/>
            <w:shd w:val="clear" w:color="auto" w:fill="auto"/>
            <w:vAlign w:val="center"/>
          </w:tcPr>
          <w:p>
            <w:pPr>
              <w:jc w:val="center"/>
              <w:rPr>
                <w:lang w:val="en-US"/>
              </w:rPr>
            </w:pPr>
            <w:r>
              <w:rPr>
                <w:lang w:val="en-US"/>
              </w:rPr>
              <w:t>-6.39</w:t>
            </w:r>
          </w:p>
        </w:tc>
        <w:tc>
          <w:tcPr>
            <w:tcW w:w="1701" w:type="dxa"/>
            <w:shd w:val="clear" w:color="auto" w:fill="auto"/>
            <w:vAlign w:val="center"/>
          </w:tcPr>
          <w:p>
            <w:pPr>
              <w:jc w:val="center"/>
              <w:rPr>
                <w:lang w:val="en-US"/>
              </w:rPr>
            </w:pPr>
            <w:r>
              <w:rPr>
                <w:lang w:val="en-US"/>
              </w:rPr>
              <w:t>2.66</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未命名(B1C6)</w:t>
            </w:r>
          </w:p>
        </w:tc>
        <w:tc>
          <w:tcPr>
            <w:tcW w:w="1276" w:type="dxa"/>
            <w:shd w:val="clear" w:color="auto" w:fill="auto"/>
            <w:vAlign w:val="center"/>
          </w:tcPr>
          <w:p>
            <w:pPr>
              <w:jc w:val="center"/>
              <w:rPr>
                <w:lang w:val="en-US"/>
              </w:rPr>
            </w:pPr>
            <w:r>
              <w:rPr>
                <w:lang w:val="en-US"/>
              </w:rPr>
              <w:t>-5.53</w:t>
            </w:r>
          </w:p>
        </w:tc>
        <w:tc>
          <w:tcPr>
            <w:tcW w:w="1276" w:type="dxa"/>
            <w:shd w:val="clear" w:color="auto" w:fill="auto"/>
            <w:vAlign w:val="center"/>
          </w:tcPr>
          <w:p>
            <w:pPr>
              <w:jc w:val="center"/>
              <w:rPr>
                <w:lang w:val="en-US"/>
              </w:rPr>
            </w:pPr>
            <w:r>
              <w:rPr>
                <w:lang w:val="en-US"/>
              </w:rPr>
              <w:t>-5.50</w:t>
            </w:r>
          </w:p>
        </w:tc>
        <w:tc>
          <w:tcPr>
            <w:tcW w:w="1701" w:type="dxa"/>
            <w:shd w:val="clear" w:color="auto" w:fill="auto"/>
            <w:vAlign w:val="center"/>
          </w:tcPr>
          <w:p>
            <w:pPr>
              <w:jc w:val="center"/>
              <w:rPr>
                <w:lang w:val="en-US"/>
              </w:rPr>
            </w:pPr>
            <w:r>
              <w:rPr>
                <w:lang w:val="en-US"/>
              </w:rPr>
              <w:t>-0.03</w:t>
            </w:r>
          </w:p>
        </w:tc>
        <w:tc>
          <w:tcPr>
            <w:tcW w:w="973" w:type="dxa"/>
            <w:shd w:val="clear" w:color="auto" w:fill="auto"/>
            <w:vAlign w:val="center"/>
          </w:tcPr>
          <w:p>
            <w:pPr>
              <w:jc w:val="center"/>
              <w:rPr>
                <w:lang w:val="en-US"/>
              </w:rPr>
            </w:pPr>
            <w:r>
              <w:rPr>
                <w:lang w:val="en-US"/>
              </w:rPr>
              <w:t>是</w:t>
            </w:r>
          </w:p>
        </w:tc>
      </w:tr>
      <w:bookmarkEnd w:id="112"/>
    </w:tbl>
    <w:p>
      <w:pPr>
        <w:rPr>
          <w:lang w:val="en-US"/>
        </w:rPr>
      </w:pPr>
      <w:bookmarkStart w:id="113" w:name="建筑迎风和背风面风压差结论汇总结论"/>
      <w:bookmarkEnd w:id="113"/>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14" w:name="冬季工况"/>
      <w:bookmarkEnd w:id="114"/>
      <w:r>
        <w:rPr>
          <w:rFonts w:hint="eastAsia"/>
          <w:lang w:val="en-US"/>
        </w:rPr>
        <w:t xml:space="preserve"> </w:t>
      </w:r>
    </w:p>
    <w:p>
      <w:pPr>
        <w:rPr>
          <w:lang w:val="en-US"/>
        </w:rPr>
      </w:pPr>
      <w:bookmarkStart w:id="115" w:name="其他工况"/>
      <w:bookmarkEnd w:id="115"/>
      <w:r>
        <w:rPr>
          <w:rFonts w:hint="eastAsia"/>
          <w:lang w:val="en-US"/>
        </w:rPr>
        <w:t xml:space="preserve"> </w:t>
      </w:r>
    </w:p>
    <w:p>
      <w:pPr>
        <w:pStyle w:val="4"/>
      </w:pPr>
      <w:bookmarkStart w:id="116" w:name="_Toc88151366"/>
      <w:bookmarkStart w:id="117" w:name="_Toc509844764"/>
      <w:r>
        <w:rPr>
          <w:rFonts w:hint="eastAsia"/>
        </w:rPr>
        <w:t>结论</w:t>
      </w:r>
      <w:bookmarkEnd w:id="116"/>
      <w:bookmarkEnd w:id="117"/>
    </w:p>
    <w:p>
      <w:pPr>
        <w:pStyle w:val="5"/>
      </w:pPr>
      <w:bookmarkStart w:id="118" w:name="_Toc509844765"/>
      <w:bookmarkStart w:id="119" w:name="_Toc88151367"/>
      <w:r>
        <w:rPr>
          <w:rFonts w:hint="eastAsia"/>
        </w:rPr>
        <w:t>冬季工况达标判断</w:t>
      </w:r>
      <w:bookmarkEnd w:id="118"/>
      <w:bookmarkEnd w:id="119"/>
      <w:bookmarkStart w:id="120" w:name="_Toc509844766"/>
      <w:bookmarkEnd w:id="12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21" w:name="冬季风速结果"/>
            <w:r>
              <w:t>没有出现</w:t>
            </w:r>
            <w:bookmarkEnd w:id="121"/>
            <w:r>
              <w:rPr>
                <w:rFonts w:hint="eastAsia"/>
                <w:lang w:val="en-US"/>
              </w:rPr>
              <w:t>风速大于</w:t>
            </w:r>
            <w:r>
              <w:rPr>
                <w:lang w:val="en-US"/>
              </w:rPr>
              <w:t>5m/s</w:t>
            </w:r>
            <w:r>
              <w:rPr>
                <w:rFonts w:hint="eastAsia"/>
                <w:lang w:val="en-US"/>
              </w:rPr>
              <w:t>的区域，户外休息区、儿童娱乐区</w:t>
            </w:r>
            <w:bookmarkStart w:id="122" w:name="冬季风速结果2"/>
            <w:r>
              <w:t>没有出现</w:t>
            </w:r>
            <w:bookmarkEnd w:id="122"/>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23" w:name="冬季风速达标判定"/>
            <w:r>
              <w:rPr>
                <w:rFonts w:hint="eastAsia"/>
                <w:b/>
                <w:lang w:val="en-US"/>
              </w:rPr>
              <w:t>达标</w:t>
            </w:r>
            <w:bookmarkEnd w:id="123"/>
          </w:p>
        </w:tc>
        <w:tc>
          <w:tcPr>
            <w:tcW w:w="1416" w:type="dxa"/>
            <w:vMerge w:val="restart"/>
            <w:tcBorders>
              <w:top w:val="single" w:color="auto" w:sz="4" w:space="0"/>
            </w:tcBorders>
            <w:shd w:val="clear" w:color="auto" w:fill="auto"/>
            <w:vAlign w:val="center"/>
          </w:tcPr>
          <w:p>
            <w:pPr>
              <w:jc w:val="center"/>
              <w:rPr>
                <w:lang w:val="en-US"/>
              </w:rPr>
            </w:pPr>
            <w:bookmarkStart w:id="124" w:name="冬季风速得分"/>
            <w:r>
              <w:rPr>
                <w:rFonts w:hint="eastAsia"/>
                <w:lang w:val="en-US"/>
              </w:rPr>
              <w:t>3</w:t>
            </w:r>
            <w:bookmarkEnd w:id="12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25" w:name="冬季风速放大系数结果"/>
            <w:r>
              <w:t>没有出现</w:t>
            </w:r>
            <w:bookmarkEnd w:id="12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26" w:name="冬季迎背风面结果"/>
            <w:r>
              <w:t>没有出现</w:t>
            </w:r>
            <w:bookmarkEnd w:id="12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pPr>
              <w:jc w:val="center"/>
              <w:rPr>
                <w:lang w:val="en-US"/>
              </w:rPr>
            </w:pPr>
            <w:bookmarkStart w:id="128" w:name="冬季迎背风面得分"/>
            <w:r>
              <w:rPr>
                <w:rFonts w:hint="eastAsia"/>
                <w:lang w:val="en-US"/>
              </w:rPr>
              <w:t>2</w:t>
            </w:r>
            <w:bookmarkEnd w:id="128"/>
            <w:r>
              <w:rPr>
                <w:rFonts w:hint="eastAsia"/>
                <w:lang w:val="en-US"/>
              </w:rPr>
              <w:t>分</w:t>
            </w:r>
          </w:p>
        </w:tc>
      </w:tr>
    </w:tbl>
    <w:p>
      <w:pPr>
        <w:rPr>
          <w:szCs w:val="21"/>
          <w:lang w:val="en-US"/>
        </w:rPr>
      </w:pPr>
      <w:bookmarkStart w:id="129" w:name="_Toc509844767"/>
      <w:bookmarkEnd w:id="129"/>
      <w:bookmarkStart w:id="130" w:name="_Toc509844768"/>
      <w:bookmarkEnd w:id="130"/>
    </w:p>
    <w:p>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18</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18</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38"/>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95938"/>
    <w:rsid w:val="003A50E3"/>
    <w:rsid w:val="003A6A7F"/>
    <w:rsid w:val="003B2E2C"/>
    <w:rsid w:val="003C51B9"/>
    <w:rsid w:val="003C5F3A"/>
    <w:rsid w:val="003D123E"/>
    <w:rsid w:val="003D3E8E"/>
    <w:rsid w:val="003E405A"/>
    <w:rsid w:val="003E54CD"/>
    <w:rsid w:val="00407998"/>
    <w:rsid w:val="00412598"/>
    <w:rsid w:val="004125BE"/>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5A32"/>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A15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39440-1476-43A7-ADE5-F26AB9CB852E}">
  <ds:schemaRefs/>
</ds:datastoreItem>
</file>

<file path=docProps/app.xml><?xml version="1.0" encoding="utf-8"?>
<Properties xmlns="http://schemas.openxmlformats.org/officeDocument/2006/extended-properties" xmlns:vt="http://schemas.openxmlformats.org/officeDocument/2006/docPropsVTypes">
  <Template>tmp3</Template>
  <Company>ths</Company>
  <Pages>18</Pages>
  <Words>1354</Words>
  <Characters>7718</Characters>
  <Lines>64</Lines>
  <Paragraphs>18</Paragraphs>
  <TotalTime>2</TotalTime>
  <ScaleCrop>false</ScaleCrop>
  <LinksUpToDate>false</LinksUpToDate>
  <CharactersWithSpaces>9054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2021-11-18T10:08:00Z</dcterms:created>
  <dc:creator>ABC</dc:creator>
  <cp:lastModifiedBy>小龙</cp:lastModifiedBy>
  <cp:lastPrinted>1900-12-31T16:00:00Z</cp:lastPrinted>
  <dcterms:modified xsi:type="dcterms:W3CDTF">2022-01-02T02:36:05Z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32B56790EE5449A49139E978ADB00E52</vt:lpwstr>
  </property>
</Properties>
</file>