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r>
              <w:rPr>
                <w:rFonts w:hint="eastAsia" w:ascii="宋体" w:hAnsi="宋体"/>
                <w:szCs w:val="21"/>
              </w:rPr>
              <w:t>xxxx项目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rPr>
                <w:rFonts w:hint="eastAsia" w:ascii="宋体" w:hAnsi="宋体"/>
                <w:szCs w:val="21"/>
              </w:rPr>
              <w:t>xxxx有限公司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rPr>
                <w:rFonts w:hint="eastAsia" w:ascii="宋体" w:hAnsi="宋体"/>
                <w:szCs w:val="21"/>
              </w:rPr>
              <w:t>xxxx建筑设计有限公司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S0A8E126FD24358B</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_Toc19148 </w:instrText>
      </w:r>
      <w:r>
        <w:rPr>
          <w:rFonts w:ascii="宋体" w:hAnsi="宋体"/>
          <w:caps/>
        </w:rPr>
        <w:fldChar w:fldCharType="separate"/>
      </w:r>
      <w:r>
        <w:rPr>
          <w:rFonts w:hint="eastAsia"/>
        </w:rPr>
        <w:t>1 建筑概况</w:t>
      </w:r>
      <w:r>
        <w:tab/>
      </w:r>
      <w:r>
        <w:fldChar w:fldCharType="begin"/>
      </w:r>
      <w:r>
        <w:instrText xml:space="preserve"> PAGEREF _Toc19148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_Toc21488 </w:instrText>
      </w:r>
      <w:r>
        <w:fldChar w:fldCharType="separate"/>
      </w:r>
      <w:r>
        <w:rPr>
          <w:rFonts w:hint="eastAsia"/>
        </w:rPr>
        <w:t>2 标准依据</w:t>
      </w:r>
      <w:r>
        <w:tab/>
      </w:r>
      <w:r>
        <w:fldChar w:fldCharType="begin"/>
      </w:r>
      <w:r>
        <w:instrText xml:space="preserve"> PAGEREF _Toc21488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_Toc12620 </w:instrText>
      </w:r>
      <w:r>
        <w:fldChar w:fldCharType="separate"/>
      </w:r>
      <w:r>
        <w:rPr>
          <w:rFonts w:hint="eastAsia"/>
        </w:rPr>
        <w:t>3 评价</w:t>
      </w:r>
      <w:r>
        <w:t>要求</w:t>
      </w:r>
      <w:r>
        <w:tab/>
      </w:r>
      <w:r>
        <w:fldChar w:fldCharType="begin"/>
      </w:r>
      <w:r>
        <w:instrText xml:space="preserve"> PAGEREF _Toc12620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_Toc11476 </w:instrText>
      </w:r>
      <w:r>
        <w:fldChar w:fldCharType="separate"/>
      </w:r>
      <w:r>
        <w:rPr>
          <w:rFonts w:hint="eastAsia"/>
          <w:kern w:val="2"/>
        </w:rPr>
        <w:t>4 隔声理论概述</w:t>
      </w:r>
      <w:r>
        <w:tab/>
      </w:r>
      <w:r>
        <w:fldChar w:fldCharType="begin"/>
      </w:r>
      <w:r>
        <w:instrText xml:space="preserve"> PAGEREF _Toc11476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_Toc17815 </w:instrText>
      </w:r>
      <w:r>
        <w:fldChar w:fldCharType="separate"/>
      </w:r>
      <w:r>
        <w:rPr>
          <w:rFonts w:hint="eastAsia"/>
          <w:lang w:val="en-GB"/>
        </w:rPr>
        <w:t xml:space="preserve">4.1 </w:t>
      </w:r>
      <w:r>
        <w:t>空气声</w:t>
      </w:r>
      <w:r>
        <w:rPr>
          <w:rFonts w:hint="eastAsia"/>
        </w:rPr>
        <w:t>隔声</w:t>
      </w:r>
      <w:r>
        <w:tab/>
      </w:r>
      <w:r>
        <w:fldChar w:fldCharType="begin"/>
      </w:r>
      <w:r>
        <w:instrText xml:space="preserve"> PAGEREF _Toc17815 \h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_Toc18089 </w:instrText>
      </w:r>
      <w:r>
        <w:fldChar w:fldCharType="separate"/>
      </w:r>
      <w:r>
        <w:rPr>
          <w:rFonts w:hint="eastAsia" w:eastAsia="宋体"/>
          <w:szCs w:val="24"/>
          <w:lang w:val="en-GB"/>
        </w:rPr>
        <w:t xml:space="preserve">4.1.1 </w:t>
      </w:r>
      <w:r>
        <w:rPr>
          <w:rFonts w:hint="eastAsia"/>
        </w:rPr>
        <w:t>质量定律</w:t>
      </w:r>
      <w:r>
        <w:tab/>
      </w:r>
      <w:r>
        <w:fldChar w:fldCharType="begin"/>
      </w:r>
      <w:r>
        <w:instrText xml:space="preserve"> PAGEREF _Toc18089 \h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_Toc22805 </w:instrText>
      </w:r>
      <w:r>
        <w:fldChar w:fldCharType="separate"/>
      </w:r>
      <w:r>
        <w:rPr>
          <w:rFonts w:hint="eastAsia" w:eastAsia="宋体"/>
          <w:szCs w:val="24"/>
          <w:lang w:val="en-GB"/>
        </w:rPr>
        <w:t xml:space="preserve">4.1.2 </w:t>
      </w:r>
      <w:r>
        <w:rPr>
          <w:rFonts w:hint="eastAsia"/>
        </w:rPr>
        <w:t>单层匀</w:t>
      </w:r>
      <w:r>
        <w:t>质</w:t>
      </w:r>
      <w:r>
        <w:rPr>
          <w:rFonts w:hint="eastAsia"/>
        </w:rPr>
        <w:t>密实墙体</w:t>
      </w:r>
      <w:r>
        <w:t>的空气声</w:t>
      </w:r>
      <w:r>
        <w:rPr>
          <w:rFonts w:hint="eastAsia"/>
        </w:rPr>
        <w:t>隔声</w:t>
      </w:r>
      <w:r>
        <w:tab/>
      </w:r>
      <w:r>
        <w:fldChar w:fldCharType="begin"/>
      </w:r>
      <w:r>
        <w:instrText xml:space="preserve"> PAGEREF _Toc22805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_Toc14811 </w:instrText>
      </w:r>
      <w:r>
        <w:fldChar w:fldCharType="separate"/>
      </w:r>
      <w:r>
        <w:rPr>
          <w:rFonts w:hint="eastAsia" w:eastAsia="宋体"/>
          <w:szCs w:val="24"/>
          <w:lang w:val="en-GB"/>
        </w:rPr>
        <w:t xml:space="preserve">4.1.3 </w:t>
      </w:r>
      <w:r>
        <w:rPr>
          <w:rFonts w:hint="eastAsia"/>
        </w:rPr>
        <w:t>多层复合板的隔声性能</w:t>
      </w:r>
      <w:r>
        <w:tab/>
      </w:r>
      <w:r>
        <w:fldChar w:fldCharType="begin"/>
      </w:r>
      <w:r>
        <w:instrText xml:space="preserve"> PAGEREF _Toc14811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_Toc1175 </w:instrText>
      </w:r>
      <w:r>
        <w:fldChar w:fldCharType="separate"/>
      </w:r>
      <w:r>
        <w:rPr>
          <w:rFonts w:hint="eastAsia"/>
          <w:lang w:val="en-GB"/>
        </w:rPr>
        <w:t xml:space="preserve">4.2 </w:t>
      </w:r>
      <w:r>
        <w:rPr>
          <w:rFonts w:hint="eastAsia"/>
        </w:rPr>
        <w:t>撞击声隔声</w:t>
      </w:r>
      <w:r>
        <w:tab/>
      </w:r>
      <w:r>
        <w:fldChar w:fldCharType="begin"/>
      </w:r>
      <w:r>
        <w:instrText xml:space="preserve"> PAGEREF _Toc1175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_Toc32171 </w:instrText>
      </w:r>
      <w:r>
        <w:fldChar w:fldCharType="separate"/>
      </w:r>
      <w:r>
        <w:rPr>
          <w:rFonts w:hint="eastAsia"/>
        </w:rPr>
        <w:t>5 构件空气声隔声量计算过程</w:t>
      </w:r>
      <w:r>
        <w:tab/>
      </w:r>
      <w:r>
        <w:fldChar w:fldCharType="begin"/>
      </w:r>
      <w:r>
        <w:instrText xml:space="preserve"> PAGEREF _Toc32171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_Toc25927 </w:instrText>
      </w:r>
      <w:r>
        <w:fldChar w:fldCharType="separate"/>
      </w:r>
      <w:r>
        <w:rPr>
          <w:rFonts w:hint="eastAsia"/>
          <w:lang w:val="en-GB"/>
        </w:rPr>
        <w:t xml:space="preserve">5.1 </w:t>
      </w:r>
      <w:r>
        <w:rPr>
          <w:rFonts w:hint="eastAsia"/>
        </w:rPr>
        <w:t>计算条件</w:t>
      </w:r>
      <w:r>
        <w:tab/>
      </w:r>
      <w:r>
        <w:fldChar w:fldCharType="begin"/>
      </w:r>
      <w:r>
        <w:instrText xml:space="preserve"> PAGEREF _Toc25927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_Toc23002 </w:instrText>
      </w:r>
      <w:r>
        <w:fldChar w:fldCharType="separate"/>
      </w:r>
      <w:r>
        <w:rPr>
          <w:rFonts w:hint="eastAsia"/>
          <w:lang w:val="en-GB"/>
        </w:rPr>
        <w:t xml:space="preserve">5.2 </w:t>
      </w:r>
      <w:r>
        <w:rPr>
          <w:rFonts w:hint="eastAsia"/>
        </w:rPr>
        <w:t>构件在倍频程下的空气声隔声量</w:t>
      </w:r>
      <w:r>
        <w:tab/>
      </w:r>
      <w:r>
        <w:fldChar w:fldCharType="begin"/>
      </w:r>
      <w:r>
        <w:instrText xml:space="preserve"> PAGEREF _Toc23002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_Toc19996 </w:instrText>
      </w:r>
      <w:r>
        <w:fldChar w:fldCharType="separate"/>
      </w:r>
      <w:r>
        <w:rPr>
          <w:rFonts w:hint="eastAsia" w:eastAsia="宋体"/>
          <w:szCs w:val="24"/>
          <w:lang w:val="en-GB"/>
        </w:rPr>
        <w:t xml:space="preserve">5.2.1 </w:t>
      </w:r>
      <w:r>
        <w:rPr>
          <w:rFonts w:hint="eastAsia"/>
        </w:rPr>
        <w:t>墙板各频程下空气声隔声量</w:t>
      </w:r>
      <w:r>
        <w:tab/>
      </w:r>
      <w:r>
        <w:fldChar w:fldCharType="begin"/>
      </w:r>
      <w:r>
        <w:instrText xml:space="preserve"> PAGEREF _Toc19996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_Toc16087 </w:instrText>
      </w:r>
      <w:r>
        <w:fldChar w:fldCharType="separate"/>
      </w:r>
      <w:r>
        <w:rPr>
          <w:rFonts w:hint="eastAsia" w:eastAsia="宋体"/>
          <w:szCs w:val="24"/>
          <w:lang w:val="en-GB"/>
        </w:rPr>
        <w:t xml:space="preserve">5.2.2 </w:t>
      </w:r>
      <w:r>
        <w:rPr>
          <w:rFonts w:hint="eastAsia"/>
        </w:rPr>
        <w:t>门窗各频程下空气声隔声量</w:t>
      </w:r>
      <w:r>
        <w:tab/>
      </w:r>
      <w:r>
        <w:fldChar w:fldCharType="begin"/>
      </w:r>
      <w:r>
        <w:instrText xml:space="preserve"> PAGEREF _Toc16087 \h </w:instrText>
      </w:r>
      <w:r>
        <w:fldChar w:fldCharType="separate"/>
      </w:r>
      <w:r>
        <w:t>10</w:t>
      </w:r>
      <w:r>
        <w:fldChar w:fldCharType="end"/>
      </w:r>
      <w:r>
        <w:fldChar w:fldCharType="end"/>
      </w:r>
    </w:p>
    <w:p>
      <w:pPr>
        <w:pStyle w:val="20"/>
        <w:tabs>
          <w:tab w:val="right" w:leader="dot" w:pos="9070"/>
          <w:tab w:val="clear" w:pos="540"/>
          <w:tab w:val="clear" w:pos="9360"/>
        </w:tabs>
      </w:pPr>
      <w:r>
        <w:fldChar w:fldCharType="begin"/>
      </w:r>
      <w:r>
        <w:instrText xml:space="preserve"> HYPERLINK \l _Toc31185 </w:instrText>
      </w:r>
      <w:r>
        <w:fldChar w:fldCharType="separate"/>
      </w:r>
      <w:r>
        <w:rPr>
          <w:rFonts w:hint="eastAsia"/>
          <w:lang w:val="en-GB"/>
        </w:rPr>
        <w:t xml:space="preserve">5.3 </w:t>
      </w:r>
      <w:r>
        <w:rPr>
          <w:rFonts w:hint="eastAsia"/>
        </w:rPr>
        <w:t>构件计权隔声量</w:t>
      </w:r>
      <w:r>
        <w:tab/>
      </w:r>
      <w:r>
        <w:fldChar w:fldCharType="begin"/>
      </w:r>
      <w:r>
        <w:instrText xml:space="preserve"> PAGEREF _Toc31185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_Toc82 </w:instrText>
      </w:r>
      <w:r>
        <w:fldChar w:fldCharType="separate"/>
      </w:r>
      <w:r>
        <w:rPr>
          <w:rFonts w:hint="eastAsia" w:eastAsia="宋体"/>
          <w:szCs w:val="24"/>
          <w:lang w:val="en-GB"/>
        </w:rPr>
        <w:t xml:space="preserve">5.3.1 </w:t>
      </w:r>
      <w:r>
        <w:rPr>
          <w:rFonts w:hint="eastAsia"/>
        </w:rPr>
        <w:t>墙板计权隔声量</w:t>
      </w:r>
      <w:r>
        <w:tab/>
      </w:r>
      <w:r>
        <w:fldChar w:fldCharType="begin"/>
      </w:r>
      <w:r>
        <w:instrText xml:space="preserve"> PAGEREF _Toc82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_Toc27058 </w:instrText>
      </w:r>
      <w:r>
        <w:fldChar w:fldCharType="separate"/>
      </w:r>
      <w:r>
        <w:rPr>
          <w:rFonts w:hint="eastAsia" w:eastAsia="宋体"/>
          <w:szCs w:val="24"/>
          <w:lang w:val="en-GB"/>
        </w:rPr>
        <w:t xml:space="preserve">5.3.2 </w:t>
      </w:r>
      <w:r>
        <w:rPr>
          <w:rFonts w:hint="eastAsia"/>
        </w:rPr>
        <w:t>门窗计权隔声量</w:t>
      </w:r>
      <w:r>
        <w:tab/>
      </w:r>
      <w:r>
        <w:fldChar w:fldCharType="begin"/>
      </w:r>
      <w:r>
        <w:instrText xml:space="preserve"> PAGEREF _Toc27058 \h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_Toc3416 </w:instrText>
      </w:r>
      <w:r>
        <w:fldChar w:fldCharType="separate"/>
      </w:r>
      <w:r>
        <w:rPr>
          <w:rFonts w:hint="eastAsia"/>
          <w:lang w:val="en-GB"/>
        </w:rPr>
        <w:t xml:space="preserve">5.4 </w:t>
      </w:r>
      <w:r>
        <w:rPr>
          <w:rFonts w:hint="eastAsia"/>
        </w:rPr>
        <w:t>构件空气声隔声频谱修正量</w:t>
      </w:r>
      <w:r>
        <w:tab/>
      </w:r>
      <w:r>
        <w:fldChar w:fldCharType="begin"/>
      </w:r>
      <w:r>
        <w:instrText xml:space="preserve"> PAGEREF _Toc3416 \h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_Toc16321 </w:instrText>
      </w:r>
      <w:r>
        <w:fldChar w:fldCharType="separate"/>
      </w:r>
      <w:r>
        <w:rPr>
          <w:rFonts w:hint="eastAsia"/>
          <w:lang w:val="en-GB"/>
        </w:rPr>
        <w:t xml:space="preserve">5.5 </w:t>
      </w:r>
      <w:r>
        <w:rPr>
          <w:rFonts w:hint="eastAsia"/>
        </w:rPr>
        <w:t>构件空气声</w:t>
      </w:r>
      <w:r>
        <w:t>隔声</w:t>
      </w:r>
      <w:r>
        <w:rPr>
          <w:rFonts w:hint="eastAsia"/>
        </w:rPr>
        <w:t>性能</w:t>
      </w:r>
      <w:r>
        <w:tab/>
      </w:r>
      <w:r>
        <w:fldChar w:fldCharType="begin"/>
      </w:r>
      <w:r>
        <w:instrText xml:space="preserve"> PAGEREF _Toc16321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_Toc23146 </w:instrText>
      </w:r>
      <w:r>
        <w:fldChar w:fldCharType="separate"/>
      </w:r>
      <w:r>
        <w:rPr>
          <w:rFonts w:hint="eastAsia"/>
        </w:rPr>
        <w:t>6 楼板撞击声隔声性能</w:t>
      </w:r>
      <w:r>
        <w:tab/>
      </w:r>
      <w:r>
        <w:fldChar w:fldCharType="begin"/>
      </w:r>
      <w:r>
        <w:instrText xml:space="preserve"> PAGEREF _Toc23146 \h </w:instrText>
      </w:r>
      <w:r>
        <w:fldChar w:fldCharType="separate"/>
      </w:r>
      <w:r>
        <w:t>16</w:t>
      </w:r>
      <w:r>
        <w:fldChar w:fldCharType="end"/>
      </w:r>
      <w:r>
        <w:fldChar w:fldCharType="end"/>
      </w:r>
    </w:p>
    <w:p>
      <w:pPr>
        <w:pStyle w:val="18"/>
        <w:tabs>
          <w:tab w:val="right" w:leader="dot" w:pos="9070"/>
          <w:tab w:val="clear" w:pos="180"/>
          <w:tab w:val="clear" w:pos="9360"/>
        </w:tabs>
      </w:pPr>
      <w:r>
        <w:fldChar w:fldCharType="begin"/>
      </w:r>
      <w:r>
        <w:instrText xml:space="preserve"> HYPERLINK \l _Toc5879 </w:instrText>
      </w:r>
      <w:r>
        <w:fldChar w:fldCharType="separate"/>
      </w:r>
      <w:r>
        <w:rPr>
          <w:rFonts w:hint="eastAsia"/>
          <w:kern w:val="2"/>
        </w:rPr>
        <w:t>7 结论</w:t>
      </w:r>
      <w:r>
        <w:tab/>
      </w:r>
      <w:r>
        <w:fldChar w:fldCharType="begin"/>
      </w:r>
      <w:r>
        <w:instrText xml:space="preserve"> PAGEREF _Toc5879 \h </w:instrText>
      </w:r>
      <w:r>
        <w:fldChar w:fldCharType="separate"/>
      </w:r>
      <w:r>
        <w:t>17</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18"/>
      </w:pPr>
    </w:p>
    <w:p>
      <w:pPr>
        <w:pStyle w:val="2"/>
      </w:pPr>
      <w:bookmarkStart w:id="11" w:name="_Toc19148"/>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6871</w:t>
            </w:r>
            <w:bookmarkEnd w:id="13"/>
            <w:r>
              <w:rPr>
                <w:rFonts w:hint="eastAsia" w:ascii="宋体" w:hAnsi="宋体"/>
                <w:lang w:val="en-US"/>
              </w:rPr>
              <w:t xml:space="preserve">    地下</w:t>
            </w:r>
            <w:bookmarkStart w:id="14" w:name="地下建筑面积"/>
            <w:r>
              <w:rPr>
                <w:rFonts w:hint="eastAsia" w:ascii="宋体" w:hAnsi="宋体"/>
                <w:lang w:val="en-US"/>
              </w:rPr>
              <w:t>3200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10</w:t>
            </w:r>
            <w:bookmarkEnd w:id="15"/>
            <w:r>
              <w:rPr>
                <w:rFonts w:hint="eastAsia" w:ascii="宋体" w:hAnsi="宋体"/>
                <w:lang w:val="en-US"/>
              </w:rPr>
              <w:t xml:space="preserve">        地下</w:t>
            </w:r>
            <w:bookmarkStart w:id="16" w:name="地下建筑层数"/>
            <w:r>
              <w:t>1</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7" w:name="地上建筑高度"/>
            <w:r>
              <w:rPr>
                <w:rFonts w:hint="eastAsia" w:ascii="宋体" w:hAnsi="宋体"/>
                <w:lang w:val="en-US"/>
              </w:rPr>
              <w:t>33.0</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8" w:name="北向角度"/>
            <w:r>
              <w:t>90</w:t>
            </w:r>
            <w:bookmarkEnd w:id="18"/>
          </w:p>
        </w:tc>
      </w:tr>
    </w:tbl>
    <w:p>
      <w:pPr>
        <w:pStyle w:val="3"/>
        <w:ind w:firstLine="0" w:firstLineChars="0"/>
        <w:jc w:val="center"/>
        <w:rPr>
          <w:lang w:val="en-US"/>
        </w:rPr>
      </w:pPr>
      <w:bookmarkStart w:id="19" w:name="单体模型观察图"/>
      <w:bookmarkEnd w:id="19"/>
      <w:bookmarkStart w:id="20" w:name="围护结构概况"/>
      <w:bookmarkEnd w:id="20"/>
      <w:bookmarkStart w:id="21" w:name="TitleFormat"/>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bookmarkStart w:id="22" w:name="_Toc21488"/>
      <w:r>
        <w:rPr>
          <w:rFonts w:hint="eastAsia"/>
        </w:rPr>
        <w:t>标准依据</w:t>
      </w:r>
      <w:bookmarkEnd w:id="22"/>
    </w:p>
    <w:bookmarkEnd w:id="21"/>
    <w:p>
      <w:pPr>
        <w:pStyle w:val="28"/>
        <w:widowControl w:val="0"/>
        <w:numPr>
          <w:ilvl w:val="0"/>
          <w:numId w:val="2"/>
        </w:numPr>
        <w:ind w:firstLineChars="0"/>
        <w:contextualSpacing/>
        <w:jc w:val="both"/>
        <w:rPr>
          <w:kern w:val="2"/>
          <w:szCs w:val="24"/>
          <w:lang w:val="en-US"/>
        </w:rPr>
      </w:pPr>
      <w:bookmarkStart w:id="23" w:name="计算依据"/>
      <w:bookmarkEnd w:id="23"/>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bookmarkStart w:id="24" w:name="_Toc12620"/>
      <w:r>
        <w:rPr>
          <w:rFonts w:hint="eastAsia"/>
        </w:rPr>
        <w:t>评价</w:t>
      </w:r>
      <w:r>
        <w:t>要求</w:t>
      </w:r>
      <w:bookmarkEnd w:id="24"/>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25" w:name="_Toc11476"/>
      <w:bookmarkStart w:id="26" w:name="_Toc438716944"/>
      <w:r>
        <w:rPr>
          <w:rFonts w:hint="eastAsia"/>
          <w:kern w:val="2"/>
        </w:rPr>
        <w:t>隔声理论概述</w:t>
      </w:r>
      <w:bookmarkEnd w:id="25"/>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7" w:name="_Toc503800667"/>
      <w:bookmarkStart w:id="28" w:name="_Toc503800602"/>
      <w:bookmarkStart w:id="29" w:name="_Toc503275876"/>
      <w:bookmarkStart w:id="30" w:name="_Toc17815"/>
      <w:r>
        <w:t>空气声</w:t>
      </w:r>
      <w:r>
        <w:rPr>
          <w:rFonts w:hint="eastAsia"/>
        </w:rPr>
        <w:t>隔声</w:t>
      </w:r>
      <w:bookmarkEnd w:id="27"/>
      <w:bookmarkEnd w:id="28"/>
      <w:bookmarkEnd w:id="29"/>
      <w:bookmarkEnd w:id="30"/>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object>
          <v:shape id="_x0000_i1025" o:spt="75" type="#_x0000_t75" style="height:30.65pt;width:54.8pt;" o:ole="t" filled="f" o:preferrelative="t" stroked="f" coordsize="21600,21600">
            <v:path/>
            <v:fill on="f" focussize="0,0"/>
            <v:stroke on="f" joinstyle="miter"/>
            <v:imagedata r:id="rId10" o:title=""/>
            <o:lock v:ext="edit" aspectratio="t"/>
            <w10:wrap type="none"/>
            <w10:anchorlock/>
          </v:shape>
          <o:OLEObject Type="Embed" ProgID="Equations" ShapeID="_x0000_i1025" DrawAspect="Content" ObjectID="_1468075725" r:id="rId9">
            <o:LockedField>false</o:LockedField>
          </o:OLEObject>
        </w:obje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31" w:name="_Toc503275877"/>
      <w:bookmarkStart w:id="32" w:name="_Toc503800668"/>
      <w:bookmarkStart w:id="33" w:name="_Toc503800603"/>
      <w:bookmarkStart w:id="34" w:name="_Toc18089"/>
      <w:r>
        <w:rPr>
          <w:rFonts w:hint="eastAsia"/>
        </w:rPr>
        <w:t>质量定律</w:t>
      </w:r>
      <w:bookmarkEnd w:id="31"/>
      <w:bookmarkEnd w:id="32"/>
      <w:bookmarkEnd w:id="33"/>
      <w:bookmarkEnd w:id="34"/>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object>
          <v:shape id="_x0000_i1026" o:spt="75" type="#_x0000_t75" style="height:43.5pt;width:116.05pt;" o:ole="t" filled="f" o:preferrelative="t" stroked="f" coordsize="21600,21600">
            <v:path/>
            <v:fill on="f" focussize="0,0"/>
            <v:stroke on="f" joinstyle="miter"/>
            <v:imagedata r:id="rId12" o:title=""/>
            <o:lock v:ext="edit" aspectratio="t"/>
            <w10:wrap type="none"/>
            <w10:anchorlock/>
          </v:shape>
          <o:OLEObject Type="Embed" ProgID="Equations" ShapeID="_x0000_i1026" DrawAspect="Content" ObjectID="_1468075726" r:id="rId1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object>
          <v:shape id="_x0000_i1027" o:spt="75" type="#_x0000_t75" style="height:11.3pt;width:12.35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5">
            <o:LockedField>false</o:LockedField>
          </o:OLEObject>
        </w:obje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9" o:spt="75" type="#_x0000_t75" style="height:11.3pt;width:8.05pt;" o:ole="t" filled="f" o:preferrelative="t" stroked="f" coordsize="21600,21600">
            <v:path/>
            <v:fill on="f" focussize="0,0"/>
            <v:stroke on="f" joinstyle="miter"/>
            <v:imagedata r:id="rId18" o:title=""/>
            <o:lock v:ext="edit" aspectratio="t"/>
            <w10:wrap type="none"/>
            <w10:anchorlock/>
          </v:shape>
          <o:OLEObject Type="Embed" ProgID="Equations" ShapeID="_x0000_i1029" DrawAspect="Content" ObjectID="_1468075729" r:id="rId17">
            <o:LockedField>false</o:LockedField>
          </o:OLEObject>
        </w:obje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30" o:spt="75" type="#_x0000_t75" style="height:15.6pt;width:12.35pt;" o:ole="t" filled="f" o:preferrelative="t" stroked="f" coordsize="21600,21600">
            <v:path/>
            <v:fill on="f" focussize="0,0"/>
            <v:stroke on="f" joinstyle="miter"/>
            <v:imagedata r:id="rId20" o:title=""/>
            <o:lock v:ext="edit" aspectratio="t"/>
            <w10:wrap type="none"/>
            <w10:anchorlock/>
          </v:shape>
          <o:OLEObject Type="Embed" ProgID="Equations" ShapeID="_x0000_i1030" DrawAspect="Content" ObjectID="_1468075730" r:id="rId19">
            <o:LockedField>false</o:LockedField>
          </o:OLEObject>
        </w:obje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object>
          <v:shape id="_x0000_i1031" o:spt="75" type="#_x0000_t75" style="height:38.15pt;width:84.35pt;" o:ole="t" filled="f" o:preferrelative="t" stroked="f" coordsize="21600,21600">
            <v:path/>
            <v:fill on="f" focussize="0,0"/>
            <v:stroke on="f" joinstyle="miter"/>
            <v:imagedata r:id="rId22" o:title=""/>
            <o:lock v:ext="edit" aspectratio="t"/>
            <w10:wrap type="none"/>
            <w10:anchorlock/>
          </v:shape>
          <o:OLEObject Type="Embed" ProgID="Equations" ShapeID="_x0000_i1031" DrawAspect="Content" ObjectID="_1468075731" r:id="rId2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object>
          <v:shape id="_x0000_i1032" o:spt="75" type="#_x0000_t75" style="height:15.6pt;width:113.35pt;" o:ole="t" filled="f" o:preferrelative="t" stroked="f" coordsize="21600,21600">
            <v:path/>
            <v:fill on="f" focussize="0,0"/>
            <v:stroke on="f" joinstyle="miter"/>
            <v:imagedata r:id="rId24" o:title=""/>
            <o:lock v:ext="edit" aspectratio="t"/>
            <w10:wrap type="none"/>
            <w10:anchorlock/>
          </v:shape>
          <o:OLEObject Type="Embed" ProgID="Equations" ShapeID="_x0000_i1032" DrawAspect="Content" ObjectID="_1468075732" r:id="rId23">
            <o:LockedField>false</o:LockedField>
          </o:OLEObject>
        </w:obje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object>
          <v:shape id="_x0000_i1033" o:spt="75" type="#_x0000_t75" style="height:18.8pt;width:162.8pt;" o:ole="t" filled="f" o:preferrelative="t" stroked="f" coordsize="21600,21600">
            <v:path/>
            <v:fill on="f" focussize="0,0"/>
            <v:stroke on="f" joinstyle="miter"/>
            <v:imagedata r:id="rId26" o:title=""/>
            <o:lock v:ext="edit" aspectratio="t"/>
            <w10:wrap type="none"/>
            <w10:anchorlock/>
          </v:shape>
          <o:OLEObject Type="Embed" ProgID="Equations" ShapeID="_x0000_i1033" DrawAspect="Content" ObjectID="_1468075733" r:id="rId25">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35" w:name="_Toc503275878"/>
      <w:bookmarkStart w:id="36" w:name="_Toc503800669"/>
      <w:bookmarkStart w:id="37" w:name="_Toc503800604"/>
      <w:bookmarkStart w:id="38" w:name="_Toc22805"/>
      <w:r>
        <w:rPr>
          <w:rFonts w:hint="eastAsia"/>
        </w:rPr>
        <w:t>单层匀</w:t>
      </w:r>
      <w:r>
        <w:t>质</w:t>
      </w:r>
      <w:r>
        <w:rPr>
          <w:rFonts w:hint="eastAsia"/>
        </w:rPr>
        <w:t>密实墙体</w:t>
      </w:r>
      <w:r>
        <w:t>的空气声</w:t>
      </w:r>
      <w:r>
        <w:rPr>
          <w:rFonts w:hint="eastAsia"/>
        </w:rPr>
        <w:t>隔声</w:t>
      </w:r>
      <w:bookmarkEnd w:id="35"/>
      <w:bookmarkEnd w:id="36"/>
      <w:bookmarkEnd w:id="37"/>
      <w:bookmarkEnd w:id="38"/>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9" w:name="_Ref266689359"/>
      <w:r>
        <w:rPr>
          <w:rFonts w:hint="eastAsia" w:ascii="黑体" w:hAnsi="黑体" w:eastAsia="黑体"/>
          <w:lang w:val="en-US"/>
        </w:rPr>
        <w:t>图</w:t>
      </w:r>
      <w:bookmarkEnd w:id="39"/>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40" w:name="_Toc407804793"/>
      <w:bookmarkStart w:id="41" w:name="_Toc277862962"/>
      <w:bookmarkStart w:id="42" w:name="_Toc314558959"/>
      <w:bookmarkStart w:id="43" w:name="_Toc503275879"/>
      <w:bookmarkStart w:id="44" w:name="_Toc503800670"/>
      <w:bookmarkStart w:id="45" w:name="_Toc503800605"/>
      <w:bookmarkStart w:id="46" w:name="_Toc14811"/>
      <w:r>
        <w:rPr>
          <w:rFonts w:hint="eastAsia"/>
        </w:rPr>
        <w:t>多层复合板的</w:t>
      </w:r>
      <w:bookmarkEnd w:id="40"/>
      <w:bookmarkEnd w:id="41"/>
      <w:bookmarkEnd w:id="42"/>
      <w:r>
        <w:rPr>
          <w:rFonts w:hint="eastAsia"/>
        </w:rPr>
        <w:t>隔声性能</w:t>
      </w:r>
      <w:bookmarkEnd w:id="43"/>
      <w:bookmarkEnd w:id="44"/>
      <w:bookmarkEnd w:id="45"/>
      <w:bookmarkEnd w:id="46"/>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47" w:name="_Ref266720453"/>
      <w:r>
        <w:rPr>
          <w:rFonts w:hint="eastAsia" w:ascii="黑体" w:hAnsi="黑体" w:eastAsia="黑体"/>
          <w:lang w:val="en-US"/>
        </w:rPr>
        <w:t>图</w:t>
      </w:r>
      <w:bookmarkEnd w:id="47"/>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48" w:name="_Toc503800606"/>
      <w:bookmarkStart w:id="49" w:name="_Toc503275880"/>
      <w:bookmarkStart w:id="50" w:name="_Toc503800671"/>
      <w:bookmarkStart w:id="51" w:name="_Toc1175"/>
      <w:r>
        <w:rPr>
          <w:rFonts w:hint="eastAsia"/>
        </w:rPr>
        <w:t>撞击声隔声</w:t>
      </w:r>
      <w:bookmarkEnd w:id="48"/>
      <w:bookmarkEnd w:id="49"/>
      <w:bookmarkEnd w:id="50"/>
      <w:bookmarkEnd w:id="51"/>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m:rPr/>
              <w:rPr>
                <w:rFonts w:ascii="Cambria Math" w:hAnsi="Cambria Math" w:cs="Times New Roman"/>
              </w:rPr>
              <m:t>L</m:t>
            </m:r>
            <m:ctrlPr>
              <w:rPr>
                <w:rFonts w:ascii="Cambria Math" w:hAnsi="Cambria Math" w:cs="Times New Roman"/>
              </w:rPr>
            </m:ctrlPr>
          </m:e>
          <m:sub>
            <m:r>
              <m:rPr/>
              <w:rPr>
                <w:rFonts w:ascii="Cambria Math" w:hAnsi="Cambria Math" w:cs="Times New Roman"/>
              </w:rPr>
              <m:t>n</m:t>
            </m:r>
            <m:ctrlPr>
              <w:rPr>
                <w:rFonts w:ascii="Cambria Math" w:hAnsi="Cambria Math" w:cs="Times New Roman"/>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L</m:t>
            </m:r>
            <m:ctrlPr>
              <w:rPr>
                <w:rFonts w:ascii="Cambria Math" w:hAnsi="Cambria Math" w:cs="Times New Roman"/>
                <w:i/>
              </w:rPr>
            </m:ctrlPr>
          </m:e>
          <m:sub>
            <m:r>
              <m:rPr/>
              <w:rPr>
                <w:rFonts w:ascii="Cambria Math" w:hAnsi="Cambria Math" w:cs="Times New Roman"/>
              </w:rPr>
              <m:t>i</m:t>
            </m:r>
            <m:ctrlPr>
              <w:rPr>
                <w:rFonts w:ascii="Cambria Math" w:hAnsi="Cambria Math" w:cs="Times New Roman"/>
                <w:i/>
              </w:rPr>
            </m:ctrlPr>
          </m:sub>
        </m:sSub>
        <m:r>
          <m:rP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m:rP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m:rPr/>
                  <w:rPr>
                    <w:rFonts w:ascii="Cambria Math" w:hAnsi="Cambria Math" w:cs="Times New Roman"/>
                  </w:rPr>
                  <m:t>A</m:t>
                </m:r>
                <m:ctrlPr>
                  <w:rPr>
                    <w:rFonts w:ascii="Cambria Math" w:hAnsi="Cambria Math" w:cs="Times New Roman"/>
                    <w:i/>
                  </w:rPr>
                </m:ctrlPr>
              </m:e>
              <m:sub>
                <m:r>
                  <m:rP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m:rPr/>
              <w:rPr>
                <w:rFonts w:ascii="Cambria Math" w:hAnsi="Cambria Math"/>
                <w:lang w:val="en-US"/>
              </w:rPr>
              <m:t>L</m:t>
            </m:r>
            <m:ctrlPr>
              <w:rPr>
                <w:rFonts w:ascii="Cambria Math" w:hAnsi="Cambria Math"/>
                <w:i/>
                <w:lang w:val="en-US"/>
              </w:rPr>
            </m:ctrlPr>
          </m:e>
          <m:sub>
            <m:r>
              <m:rP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bookmarkStart w:id="52" w:name="_Toc32171"/>
      <w:r>
        <w:rPr>
          <w:rFonts w:hint="eastAsia"/>
        </w:rPr>
        <w:t>构件空气声隔声量计算过程</w:t>
      </w:r>
      <w:bookmarkEnd w:id="52"/>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object>
          <v:shape id="_x0000_i1034" o:spt="75" type="#_x0000_t75" style="height:180.55pt;width:422.35pt;" o:ole="t" filled="f" o:preferrelative="t" stroked="f" coordsize="21600,21600">
            <v:path/>
            <v:fill on="f" focussize="0,0"/>
            <v:stroke on="f" joinstyle="miter"/>
            <v:imagedata r:id="rId31" cropleft="11987f" croptop="29144f" cropright="6542f" o:title=""/>
            <o:lock v:ext="edit" aspectratio="t"/>
            <w10:wrap type="none"/>
            <w10:anchorlock/>
          </v:shape>
          <o:OLEObject Type="Embed" ProgID="Visio.Drawing.11" ShapeID="_x0000_i1034" DrawAspect="Content" ObjectID="_1468075734" r:id="rId30">
            <o:LockedField>false</o:LockedField>
          </o:OLEObject>
        </w:obje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bookmarkStart w:id="53" w:name="_Toc25927"/>
      <w:r>
        <w:rPr>
          <w:rFonts w:hint="eastAsia"/>
        </w:rPr>
        <w:t>计算条件</w:t>
      </w:r>
      <w:bookmarkEnd w:id="53"/>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复合硅酸盐保温砂浆</w:t>
            </w:r>
          </w:p>
        </w:tc>
        <w:tc>
          <w:tcPr>
            <w:vAlign w:val="center"/>
          </w:tcPr>
          <w:p>
            <w:r>
              <w:t>15</w:t>
            </w:r>
          </w:p>
        </w:tc>
        <w:tc>
          <w:tcPr>
            <w:vAlign w:val="center"/>
          </w:tcPr>
          <w:p>
            <w:r>
              <w:t>350</w:t>
            </w:r>
          </w:p>
        </w:tc>
        <w:tc>
          <w:tcPr>
            <w:vAlign w:val="center"/>
          </w:tcPr>
          <w:p>
            <w:r>
              <w:t>5</w:t>
            </w:r>
          </w:p>
        </w:tc>
        <w:tc>
          <w:tcPr>
            <w:vMerge w:val="restart"/>
            <w:vAlign w:val="center"/>
          </w:tcPr>
          <w:p>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碎石、卵石混凝土(ρ=2300)</w:t>
            </w:r>
          </w:p>
        </w:tc>
        <w:tc>
          <w:tcPr>
            <w:vAlign w:val="center"/>
          </w:tcPr>
          <w:p>
            <w:r>
              <w:t>30</w:t>
            </w:r>
          </w:p>
        </w:tc>
        <w:tc>
          <w:tcPr>
            <w:vAlign w:val="center"/>
          </w:tcPr>
          <w:p>
            <w:r>
              <w:t>2300</w:t>
            </w:r>
          </w:p>
        </w:tc>
        <w:tc>
          <w:tcPr>
            <w:vAlign w:val="center"/>
          </w:tcPr>
          <w:p>
            <w:r>
              <w:t>69</w:t>
            </w:r>
          </w:p>
        </w:tc>
        <w:tc>
          <w:tcPr>
            <w:vMerge w:val="restart"/>
            <w:vAlign w:val="center"/>
          </w:tcPr>
          <w:p>
            <w:r>
              <w:t>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半硬质矿（岩）棉板(ρ=100-180)</w:t>
            </w:r>
          </w:p>
        </w:tc>
        <w:tc>
          <w:tcPr>
            <w:vAlign w:val="center"/>
          </w:tcPr>
          <w:p>
            <w:r>
              <w:t>20</w:t>
            </w:r>
          </w:p>
        </w:tc>
        <w:tc>
          <w:tcPr>
            <w:vAlign w:val="center"/>
          </w:tcPr>
          <w:p>
            <w:r>
              <w:t>140</w:t>
            </w:r>
          </w:p>
        </w:tc>
        <w:tc>
          <w:tcPr>
            <w:vAlign w:val="center"/>
          </w:tcPr>
          <w:p>
            <w:r>
              <w:t>3</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bl>
    <w:p>
      <w:pPr>
        <w:pStyle w:val="13"/>
        <w:ind w:firstLine="420" w:firstLineChars="0"/>
        <w:jc w:val="center"/>
        <w:rPr>
          <w:rFonts w:ascii="宋体" w:hAnsi="宋体" w:eastAsia="宋体"/>
          <w:kern w:val="0"/>
          <w:sz w:val="21"/>
          <w:szCs w:val="21"/>
        </w:rPr>
      </w:pPr>
      <w:bookmarkStart w:id="54" w:name="围护结构材料清单"/>
      <w:bookmarkEnd w:id="54"/>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1"/>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bookmarkStart w:id="55" w:name="_Toc23002"/>
      <w:r>
        <w:rPr>
          <w:rFonts w:hint="eastAsia"/>
        </w:rPr>
        <w:t>构件在倍频程下的空气声隔声量</w:t>
      </w:r>
      <w:bookmarkEnd w:id="55"/>
    </w:p>
    <w:p>
      <w:pPr>
        <w:pStyle w:val="5"/>
      </w:pPr>
      <w:bookmarkStart w:id="56" w:name="_Toc19996"/>
      <w:r>
        <w:rPr>
          <w:rFonts w:hint="eastAsia"/>
        </w:rPr>
        <w:t>墙板各频程下空气声隔声量</w:t>
      </w:r>
      <w:bookmarkEnd w:id="56"/>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m:rPr/>
          <w:rPr>
            <w:rFonts w:ascii="Cambria Math" w:hAnsi="Cambria Math" w:eastAsia="Dotum"/>
            <w:sz w:val="24"/>
            <w:szCs w:val="24"/>
          </w:rPr>
          <m:t>R</m:t>
        </m:r>
        <m:r>
          <m:rPr>
            <m:sty m:val="p"/>
          </m:rPr>
          <w:rPr>
            <w:rFonts w:ascii="Cambria Math" w:hAnsi="Cambria Math" w:eastAsia="Dotum"/>
            <w:sz w:val="24"/>
            <w:szCs w:val="24"/>
          </w:rPr>
          <m:t>=</m:t>
        </m:r>
        <w:bookmarkStart w:id="57" w:name="公式A1"/>
        <m:r>
          <m:rPr>
            <m:sty m:val="p"/>
          </m:rPr>
          <m:t>23</m:t>
        </m:r>
        <w:bookmarkEnd w:id="57"/>
        <m:r>
          <m:rPr>
            <m:sty m:val="p"/>
          </m:rPr>
          <w:rPr>
            <w:rFonts w:ascii="Cambria Math" w:hAnsi="Cambria Math" w:eastAsia="Dotum"/>
            <w:sz w:val="24"/>
            <w:szCs w:val="24"/>
          </w:rPr>
          <m:t>lg</m:t>
        </m:r>
        <m:r>
          <m:rPr/>
          <w:rPr>
            <w:rFonts w:ascii="Cambria Math" w:hAnsi="Cambria Math" w:eastAsia="Dotum"/>
            <w:sz w:val="24"/>
            <w:szCs w:val="24"/>
          </w:rPr>
          <m:t>m</m:t>
        </m:r>
        <m:r>
          <m:rPr>
            <m:sty m:val="p"/>
          </m:rPr>
          <w:rPr>
            <w:rFonts w:ascii="Cambria Math" w:hAnsi="Cambria Math" w:eastAsia="Dotum"/>
            <w:sz w:val="24"/>
            <w:szCs w:val="24"/>
          </w:rPr>
          <m:t>+</m:t>
        </m:r>
        <w:bookmarkStart w:id="58" w:name="公式B1"/>
        <m:r>
          <m:rPr>
            <m:sty m:val="p"/>
          </m:rPr>
          <m:t>11</m:t>
        </m:r>
        <w:bookmarkEnd w:id="58"/>
        <m:r>
          <m:rPr>
            <m:sty m:val="p"/>
          </m:rPr>
          <w:rPr>
            <w:rFonts w:ascii="Cambria Math" w:hAnsi="Cambria Math" w:eastAsia="Dotum"/>
            <w:sz w:val="24"/>
            <w:szCs w:val="24"/>
          </w:rPr>
          <m:t>lg</m:t>
        </m:r>
        <m:r>
          <m:rPr/>
          <w:rPr>
            <w:rFonts w:hint="eastAsia" w:ascii="Cambria Math" w:hAnsi="Cambria Math" w:eastAsia="Dotum"/>
            <w:sz w:val="24"/>
            <w:szCs w:val="24"/>
          </w:rPr>
          <m:t>ƒ</m:t>
        </m:r>
        <m:r>
          <m:rPr>
            <m:sty m:val="p"/>
          </m:rPr>
          <w:rPr>
            <w:rFonts w:ascii="Cambria Math" w:hAnsi="Cambria Math" w:eastAsia="Dotum"/>
            <w:sz w:val="24"/>
            <w:szCs w:val="24"/>
          </w:rPr>
          <m:t>+(</m:t>
        </m:r>
        <w:bookmarkStart w:id="59" w:name="公式C1"/>
        <m:r>
          <m:rPr>
            <m:sty m:val="p"/>
          </m:rPr>
          <m:t>−41</m:t>
        </m:r>
        <w:bookmarkEnd w:id="59"/>
        <m:r>
          <m:rPr>
            <m:sty m:val="p"/>
          </m:rPr>
          <w:rPr>
            <w:rFonts w:ascii="Cambria Math" w:hAnsi="Cambria Math" w:eastAsia="Dotum"/>
            <w:sz w:val="24"/>
            <w:szCs w:val="24"/>
          </w:rPr>
          <m:t>)    (</m:t>
        </m:r>
        <m:r>
          <m:rPr/>
          <w:rPr>
            <w:rFonts w:ascii="Cambria Math" w:hAnsi="Cambria Math" w:eastAsia="Dotum"/>
            <w:sz w:val="24"/>
            <w:szCs w:val="24"/>
          </w:rPr>
          <m:t>m</m:t>
        </m:r>
        <m:r>
          <m:rPr>
            <m:sty m:val="p"/>
          </m:rPr>
          <w:rPr>
            <w:rFonts w:ascii="Cambria Math" w:hAnsi="Cambria Math" w:eastAsiaTheme="minorEastAsia"/>
            <w:sz w:val="24"/>
            <w:szCs w:val="24"/>
          </w:rPr>
          <m:t>≥200</m:t>
        </m:r>
        <m:r>
          <m:rPr/>
          <w:rPr>
            <w:rFonts w:ascii="Cambria Math" w:hAnsi="Cambria Math" w:eastAsiaTheme="minorEastAsia"/>
            <w:sz w:val="24"/>
            <w:szCs w:val="24"/>
          </w:rPr>
          <m:t>kg/</m:t>
        </m:r>
        <m:sSup>
          <m:sSupPr>
            <m:ctrlPr>
              <w:rPr>
                <w:rFonts w:ascii="Cambria Math" w:hAnsi="Cambria Math" w:eastAsia="Cambria Math"/>
                <w:i/>
                <w:kern w:val="2"/>
              </w:rPr>
            </m:ctrlPr>
          </m:sSupPr>
          <m:e>
            <m:r>
              <m:rPr/>
              <w:rPr>
                <w:rFonts w:ascii="Cambria Math" w:hAnsi="Cambria Math" w:eastAsia="Cambria Math"/>
                <w:kern w:val="2"/>
                <w:lang w:val="en-US"/>
              </w:rPr>
              <m:t>m</m:t>
            </m:r>
            <m:ctrlPr>
              <w:rPr>
                <w:rFonts w:ascii="Cambria Math" w:hAnsi="Cambria Math" w:eastAsia="Cambria Math"/>
                <w:i/>
                <w:kern w:val="2"/>
              </w:rPr>
            </m:ctrlPr>
          </m:e>
          <m:sup>
            <m:r>
              <m:rP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m:rPr/>
          <w:rPr>
            <w:rFonts w:ascii="Cambria Math" w:hAnsi="Cambria Math" w:eastAsia="Dotum"/>
            <w:sz w:val="24"/>
            <w:szCs w:val="24"/>
          </w:rPr>
          <m:t>R</m:t>
        </m:r>
        <m:r>
          <m:rPr>
            <m:sty m:val="p"/>
          </m:rPr>
          <w:rPr>
            <w:rFonts w:ascii="Cambria Math" w:hAnsi="Cambria Math" w:eastAsia="Dotum"/>
            <w:sz w:val="24"/>
            <w:szCs w:val="24"/>
          </w:rPr>
          <m:t>=</m:t>
        </m:r>
        <w:bookmarkStart w:id="60" w:name="公式A2"/>
        <m:r>
          <m:rPr>
            <m:sty m:val="p"/>
          </m:rPr>
          <m:t>13</m:t>
        </m:r>
        <w:bookmarkEnd w:id="60"/>
        <m:r>
          <m:rPr>
            <m:sty m:val="p"/>
          </m:rPr>
          <w:rPr>
            <w:rFonts w:ascii="Cambria Math" w:hAnsi="Cambria Math" w:eastAsia="Dotum"/>
            <w:sz w:val="24"/>
            <w:szCs w:val="24"/>
          </w:rPr>
          <m:t>lg</m:t>
        </m:r>
        <m:r>
          <m:rPr/>
          <w:rPr>
            <w:rFonts w:ascii="Cambria Math" w:hAnsi="Cambria Math" w:eastAsia="Dotum"/>
            <w:sz w:val="24"/>
            <w:szCs w:val="24"/>
          </w:rPr>
          <m:t>m</m:t>
        </m:r>
        <m:r>
          <m:rPr>
            <m:sty m:val="p"/>
          </m:rPr>
          <w:rPr>
            <w:rFonts w:ascii="Cambria Math" w:hAnsi="Cambria Math" w:eastAsia="Dotum"/>
            <w:sz w:val="24"/>
            <w:szCs w:val="24"/>
          </w:rPr>
          <m:t>+</m:t>
        </m:r>
        <w:bookmarkStart w:id="61" w:name="公式B2"/>
        <m:r>
          <m:rPr>
            <m:sty m:val="p"/>
          </m:rPr>
          <m:t>11</m:t>
        </m:r>
        <w:bookmarkEnd w:id="61"/>
        <m:r>
          <m:rPr>
            <m:sty m:val="p"/>
          </m:rPr>
          <w:rPr>
            <w:rFonts w:ascii="Cambria Math" w:hAnsi="Cambria Math" w:eastAsia="Dotum"/>
            <w:sz w:val="24"/>
            <w:szCs w:val="24"/>
          </w:rPr>
          <m:t>lg</m:t>
        </m:r>
        <m:r>
          <m:rPr/>
          <w:rPr>
            <w:rFonts w:hint="eastAsia" w:ascii="Cambria Math" w:hAnsi="Cambria Math" w:eastAsia="Dotum"/>
            <w:sz w:val="24"/>
            <w:szCs w:val="24"/>
          </w:rPr>
          <m:t>ƒ</m:t>
        </m:r>
        <m:r>
          <m:rPr>
            <m:sty m:val="p"/>
          </m:rPr>
          <w:rPr>
            <w:rFonts w:ascii="Cambria Math" w:hAnsi="Cambria Math" w:eastAsia="Dotum"/>
            <w:sz w:val="24"/>
            <w:szCs w:val="24"/>
          </w:rPr>
          <m:t>+(</m:t>
        </m:r>
        <w:bookmarkStart w:id="62" w:name="公式C2"/>
        <m:r>
          <m:rPr>
            <m:sty m:val="p"/>
          </m:rPr>
          <m:t>−18</m:t>
        </m:r>
        <w:bookmarkEnd w:id="62"/>
        <m:r>
          <m:rPr>
            <m:sty m:val="p"/>
          </m:rPr>
          <w:rPr>
            <w:rFonts w:ascii="Cambria Math" w:hAnsi="Cambria Math" w:eastAsia="Dotum"/>
            <w:sz w:val="24"/>
            <w:szCs w:val="24"/>
          </w:rPr>
          <m:t>)    (</m:t>
        </m:r>
        <m:r>
          <m:rPr/>
          <w:rPr>
            <w:rFonts w:ascii="Cambria Math" w:hAnsi="Cambria Math" w:eastAsia="Dotum"/>
            <w:sz w:val="24"/>
            <w:szCs w:val="24"/>
          </w:rPr>
          <m:t>m</m:t>
        </m:r>
        <m:r>
          <m:rPr>
            <m:sty m:val="p"/>
          </m:rPr>
          <w:rPr>
            <w:rFonts w:ascii="Cambria Math" w:hAnsi="Cambria Math" w:eastAsiaTheme="minorEastAsia"/>
            <w:sz w:val="24"/>
            <w:szCs w:val="24"/>
          </w:rPr>
          <m:t>≤200</m:t>
        </m:r>
        <m:r>
          <m:rPr/>
          <w:rPr>
            <w:rFonts w:ascii="Cambria Math" w:hAnsi="Cambria Math" w:eastAsiaTheme="minorEastAsia"/>
            <w:sz w:val="24"/>
            <w:szCs w:val="24"/>
          </w:rPr>
          <m:t>kg/</m:t>
        </m:r>
        <m:sSup>
          <m:sSupPr>
            <m:ctrlPr>
              <w:rPr>
                <w:rFonts w:ascii="Cambria Math" w:hAnsi="Cambria Math" w:eastAsia="Cambria Math"/>
                <w:i/>
                <w:kern w:val="2"/>
              </w:rPr>
            </m:ctrlPr>
          </m:sSupPr>
          <m:e>
            <m:r>
              <m:rPr/>
              <w:rPr>
                <w:rFonts w:ascii="Cambria Math" w:hAnsi="Cambria Math" w:eastAsia="Cambria Math"/>
                <w:kern w:val="2"/>
                <w:lang w:val="en-US"/>
              </w:rPr>
              <m:t>m</m:t>
            </m:r>
            <m:ctrlPr>
              <w:rPr>
                <w:rFonts w:ascii="Cambria Math" w:hAnsi="Cambria Math" w:eastAsia="Cambria Math"/>
                <w:i/>
                <w:kern w:val="2"/>
              </w:rPr>
            </m:ctrlPr>
          </m:e>
          <m:sup>
            <m:r>
              <m:rP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bookmarkStart w:id="63" w:name="_Toc16087"/>
      <w:r>
        <w:rPr>
          <w:rFonts w:hint="eastAsia"/>
        </w:rPr>
        <w:t>门窗各频程下空气声隔声量</w:t>
      </w:r>
      <w:bookmarkEnd w:id="63"/>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bookmarkStart w:id="64" w:name="_Toc31185"/>
      <w:r>
        <w:rPr>
          <w:rFonts w:hint="eastAsia"/>
        </w:rPr>
        <w:t>构件计权隔声量</w:t>
      </w:r>
      <w:bookmarkEnd w:id="64"/>
    </w:p>
    <w:p>
      <w:pPr>
        <w:pStyle w:val="5"/>
      </w:pPr>
      <w:bookmarkStart w:id="65" w:name="_Toc82"/>
      <w:r>
        <w:rPr>
          <w:rFonts w:hint="eastAsia"/>
        </w:rPr>
        <w:t>墙板计权隔声量</w:t>
      </w:r>
      <w:bookmarkEnd w:id="65"/>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object>
          <v:shape id="_x0000_i1035" o:spt="75" type="#_x0000_t75" style="height:344.95pt;width:409.45pt;" o:ole="t" filled="f" o:preferrelative="t" stroked="f" coordsize="21600,21600">
            <v:path/>
            <v:fill on="f" focussize="0,0"/>
            <v:stroke on="f" joinstyle="miter"/>
            <v:imagedata r:id="rId33" o:title=""/>
            <o:lock v:ext="edit" aspectratio="t"/>
            <w10:wrap type="none"/>
            <w10:anchorlock/>
          </v:shape>
          <o:OLEObject Type="Embed" ProgID="Visio.Drawing.11" ShapeID="_x0000_i1035" DrawAspect="Content" ObjectID="_1468075735" r:id="rId32">
            <o:LockedField>false</o:LockedField>
          </o:OLEObject>
        </w:obje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object>
          <v:shape id="_x0000_i1036"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59264;mso-width-relative:page;mso-height-relative:page;" o:ole="t" filled="f" o:preferrelative="t" stroked="f" coordsize="21600,21600">
            <v:path/>
            <v:fill on="f" focussize="0,0"/>
            <v:stroke on="f" joinstyle="miter"/>
            <v:imagedata r:id="rId37" o:title=""/>
            <o:lock v:ext="edit" aspectratio="t"/>
          </v:shape>
          <o:OLEObject Type="Embed" ProgID="Equation.DSMT4" ShapeID="_x0000_s1143" DrawAspect="Content" ObjectID="_1468075737" r:id="rId36">
            <o:LockedField>false</o:LockedField>
          </o:OLEObject>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object>
          <v:shape id="_x0000_i1037" o:spt="75" type="#_x0000_t75" style="height:18.8pt;width:20.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8" r:id="rId38">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object>
          <v:shape id="_x0000_i1038"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9" r:id="rId40">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object>
          <v:shape id="_x0000_i1039"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0" r:id="rId42">
            <o:LockedField>false</o:LockedField>
          </o:OLEObject>
        </w:obje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0288;mso-width-relative:page;mso-height-relative:page;" o:ole="t" filled="f" o:preferrelative="t" stroked="f" coordsize="21600,21600">
            <v:path/>
            <v:fill on="f" focussize="0,0"/>
            <v:stroke on="f" joinstyle="miter"/>
            <v:imagedata r:id="rId45" o:title=""/>
            <o:lock v:ext="edit" aspectratio="t"/>
          </v:shape>
          <o:OLEObject Type="Embed" ProgID="Equation.DSMT4" ShapeID="_x0000_s1144" DrawAspect="Content" ObjectID="_1468075741" r:id="rId44">
            <o:LockedField>false</o:LockedField>
          </o:OLEObject>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66"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67"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66"/>
      <w:bookmarkEnd w:id="67"/>
    </w:tbl>
    <w:p>
      <w:pPr>
        <w:pStyle w:val="5"/>
      </w:pPr>
      <w:bookmarkStart w:id="68" w:name="_Toc27058"/>
      <w:r>
        <w:rPr>
          <w:rFonts w:hint="eastAsia"/>
        </w:rPr>
        <w:t>门窗计权隔声量</w:t>
      </w:r>
      <w:bookmarkEnd w:id="68"/>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bookmarkStart w:id="69" w:name="_Toc3416"/>
      <w:r>
        <w:rPr>
          <w:rFonts w:hint="eastAsia"/>
        </w:rPr>
        <w:t>构件空气声</w:t>
      </w:r>
      <w:bookmarkStart w:id="70" w:name="_Toc497903419"/>
      <w:r>
        <w:rPr>
          <w:rFonts w:hint="eastAsia"/>
        </w:rPr>
        <w:t>隔声频谱修正量</w:t>
      </w:r>
      <w:bookmarkEnd w:id="69"/>
      <w:bookmarkEnd w:id="70"/>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61312;mso-width-relative:page;mso-height-relative:page;" o:ole="t" filled="f" o:preferrelative="t" stroked="f" coordsize="21600,21600">
            <v:path/>
            <v:fill on="f" focussize="0,0"/>
            <v:stroke on="f" joinstyle="miter"/>
            <v:imagedata r:id="rId47" o:title=""/>
            <o:lock v:ext="edit" aspectratio="t"/>
          </v:shape>
          <o:OLEObject Type="Embed" ProgID="Equation.DSMT4" ShapeID="_x0000_s1145" DrawAspect="Content" ObjectID="_1468075742" r:id="rId46">
            <o:LockedField>false</o:LockedField>
          </o:OLEObject>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0" o:spt="75" type="#_x0000_t75" style="height:13.45pt;width:5.9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bookmarkStart w:id="71" w:name="_Toc16321"/>
      <w:r>
        <w:rPr>
          <w:rFonts w:hint="eastAsia"/>
        </w:rPr>
        <w:t>构件空气声</w:t>
      </w:r>
      <w:r>
        <w:t>隔声</w:t>
      </w:r>
      <w:r>
        <w:rPr>
          <w:rFonts w:hint="eastAsia"/>
        </w:rPr>
        <w:t>性能</w:t>
      </w:r>
      <w:bookmarkEnd w:id="71"/>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起居室墙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起居室外墙</w:t>
            </w:r>
          </w:p>
        </w:tc>
        <w:tc>
          <w:tcPr>
            <w:vAlign w:val="center"/>
          </w:tcPr>
          <w:p>
            <w:r>
              <w:t>构造作法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办公室(办公建筑)与普通房间之间隔墙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办公室(办公建筑)外墙</w:t>
            </w:r>
          </w:p>
        </w:tc>
        <w:tc>
          <w:tcPr>
            <w:vAlign w:val="center"/>
          </w:tcPr>
          <w:p>
            <w:r>
              <w:t>构造作法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卧室外墙</w:t>
            </w:r>
          </w:p>
        </w:tc>
        <w:tc>
          <w:tcPr>
            <w:vAlign w:val="center"/>
          </w:tcPr>
          <w:p>
            <w:r>
              <w:t>构造作法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分户墙</w:t>
            </w:r>
          </w:p>
        </w:tc>
        <w:tc>
          <w:tcPr>
            <w:vAlign w:val="center"/>
          </w:tcPr>
          <w:p>
            <w:r>
              <w:t>构造作法</w:t>
            </w:r>
          </w:p>
        </w:tc>
        <w:tc>
          <w:tcPr>
            <w:gridSpan w:val="5"/>
            <w:vAlign w:val="center"/>
          </w:tcPr>
          <w:p>
            <w:r>
              <w:t>复合硅酸盐保温砂浆 15mm＋钢筋混凝土 200mm＋石灰水泥砂浆（混合砂浆）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分户楼板</w:t>
            </w:r>
          </w:p>
        </w:tc>
        <w:tc>
          <w:tcPr>
            <w:vAlign w:val="center"/>
          </w:tcPr>
          <w:p>
            <w:r>
              <w:t>构造作法</w:t>
            </w:r>
          </w:p>
        </w:tc>
        <w:tc>
          <w:tcPr>
            <w:gridSpan w:val="5"/>
            <w:vAlign w:val="center"/>
          </w:tcPr>
          <w:p>
            <w:r>
              <w:t>碎石、卵石混凝土(ρ=2300) 30mm＋水泥砂浆 20mm＋钢筋混凝土 120mm＋半硬质矿（岩）棉板(ρ=100-180)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42.1</w:t>
            </w:r>
          </w:p>
        </w:tc>
        <w:tc>
          <w:tcPr>
            <w:vAlign w:val="center"/>
          </w:tcPr>
          <w:p>
            <w:r>
              <w:t>45.4</w:t>
            </w:r>
          </w:p>
        </w:tc>
        <w:tc>
          <w:tcPr>
            <w:vAlign w:val="center"/>
          </w:tcPr>
          <w:p>
            <w:r>
              <w:t>48.7</w:t>
            </w:r>
          </w:p>
        </w:tc>
        <w:tc>
          <w:tcPr>
            <w:vAlign w:val="center"/>
          </w:tcPr>
          <w:p>
            <w:r>
              <w:t>52.0</w:t>
            </w:r>
          </w:p>
        </w:tc>
        <w:tc>
          <w:tcPr>
            <w:vAlign w:val="center"/>
          </w:tcPr>
          <w:p>
            <w:r>
              <w:t>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办公室(办公建筑)与普通房间之间楼板</w:t>
            </w:r>
          </w:p>
        </w:tc>
        <w:tc>
          <w:tcPr>
            <w:vAlign w:val="center"/>
          </w:tcPr>
          <w:p>
            <w:r>
              <w:t>构造作法</w:t>
            </w:r>
          </w:p>
        </w:tc>
        <w:tc>
          <w:tcPr>
            <w:gridSpan w:val="5"/>
            <w:vAlign w:val="center"/>
          </w:tcPr>
          <w:p>
            <w:r>
              <w:t>碎石、卵石混凝土(ρ=2300) 30mm＋水泥砂浆 20mm＋钢筋混凝土 120mm＋半硬质矿（岩）棉板(ρ=100-180)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42.1</w:t>
            </w:r>
          </w:p>
        </w:tc>
        <w:tc>
          <w:tcPr>
            <w:vAlign w:val="center"/>
          </w:tcPr>
          <w:p>
            <w:r>
              <w:t>45.4</w:t>
            </w:r>
          </w:p>
        </w:tc>
        <w:tc>
          <w:tcPr>
            <w:vAlign w:val="center"/>
          </w:tcPr>
          <w:p>
            <w:r>
              <w:t>48.7</w:t>
            </w:r>
          </w:p>
        </w:tc>
        <w:tc>
          <w:tcPr>
            <w:vAlign w:val="center"/>
          </w:tcPr>
          <w:p>
            <w:r>
              <w:t>52.0</w:t>
            </w:r>
          </w:p>
        </w:tc>
        <w:tc>
          <w:tcPr>
            <w:vAlign w:val="center"/>
          </w:tcPr>
          <w:p>
            <w:r>
              <w:t>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72" w:name="墙板空气声隔声量"/>
      <w:bookmarkEnd w:id="72"/>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办公室(办公建筑)的门1</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31.0</w:t>
            </w:r>
          </w:p>
        </w:tc>
        <w:tc>
          <w:tcPr>
            <w:vAlign w:val="center"/>
          </w:tcPr>
          <w:p>
            <w:r>
              <w:t>40.0</w:t>
            </w:r>
          </w:p>
        </w:tc>
        <w:tc>
          <w:tcPr>
            <w:vAlign w:val="center"/>
          </w:tcPr>
          <w:p>
            <w:r>
              <w:t>48.0</w:t>
            </w:r>
          </w:p>
        </w:tc>
        <w:tc>
          <w:tcPr>
            <w:vAlign w:val="center"/>
          </w:tcPr>
          <w:p>
            <w:r>
              <w:t>55.0</w:t>
            </w:r>
          </w:p>
        </w:tc>
        <w:tc>
          <w:tcPr>
            <w:vAlign w:val="center"/>
          </w:tcPr>
          <w:p>
            <w:r>
              <w:t>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3.0</w:t>
            </w:r>
          </w:p>
        </w:tc>
        <w:tc>
          <w:tcPr>
            <w:vAlign w:val="center"/>
          </w:tcPr>
          <w:p>
            <w:r>
              <w:t>3.0</w:t>
            </w:r>
          </w:p>
        </w:tc>
        <w:tc>
          <w:tcPr>
            <w:vAlign w:val="center"/>
          </w:tcPr>
          <w:p>
            <w:r>
              <w:t>2.0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办公室(办公建筑)的门2</w:t>
            </w:r>
          </w:p>
        </w:tc>
        <w:tc>
          <w:tcPr>
            <w:vAlign w:val="center"/>
          </w:tcPr>
          <w:p>
            <w:r>
              <w:t>构造名称</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40.0</w:t>
            </w:r>
          </w:p>
        </w:tc>
        <w:tc>
          <w:tcPr>
            <w:vAlign w:val="center"/>
          </w:tcPr>
          <w:p>
            <w:r>
              <w:t>43.0</w:t>
            </w:r>
          </w:p>
        </w:tc>
        <w:tc>
          <w:tcPr>
            <w:vAlign w:val="center"/>
          </w:tcPr>
          <w:p>
            <w:r>
              <w:t>52.0</w:t>
            </w:r>
          </w:p>
        </w:tc>
        <w:tc>
          <w:tcPr>
            <w:vAlign w:val="center"/>
          </w:tcPr>
          <w:p>
            <w:r>
              <w:t>58.0</w:t>
            </w:r>
          </w:p>
        </w:tc>
        <w:tc>
          <w:tcPr>
            <w:vAlign w:val="center"/>
          </w:tcPr>
          <w:p>
            <w:r>
              <w:t>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5.0</w:t>
            </w:r>
          </w:p>
        </w:tc>
        <w:tc>
          <w:tcPr>
            <w:vAlign w:val="center"/>
          </w:tcPr>
          <w:p>
            <w:r>
              <w:t>3.0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住宅建筑中其他外窗</w:t>
            </w:r>
          </w:p>
        </w:tc>
        <w:tc>
          <w:tcPr>
            <w:vAlign w:val="center"/>
          </w:tcPr>
          <w:p>
            <w:r>
              <w:t>构造名称</w:t>
            </w:r>
          </w:p>
        </w:tc>
        <w:tc>
          <w:tcPr>
            <w:gridSpan w:val="5"/>
            <w:vAlign w:val="center"/>
          </w:tcPr>
          <w:p>
            <w:r>
              <w:t>6＋12A＋6高透低辐射玻璃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35.8</w:t>
            </w:r>
          </w:p>
        </w:tc>
        <w:tc>
          <w:tcPr>
            <w:vAlign w:val="center"/>
          </w:tcPr>
          <w:p>
            <w:r>
              <w:t>43.0</w:t>
            </w:r>
          </w:p>
        </w:tc>
        <w:tc>
          <w:tcPr>
            <w:vAlign w:val="center"/>
          </w:tcPr>
          <w:p>
            <w:r>
              <w:t>48.3</w:t>
            </w:r>
          </w:p>
        </w:tc>
        <w:tc>
          <w:tcPr>
            <w:vAlign w:val="center"/>
          </w:tcPr>
          <w:p>
            <w:r>
              <w:t>53.1</w:t>
            </w:r>
          </w:p>
        </w:tc>
        <w:tc>
          <w:tcPr>
            <w:vAlign w:val="center"/>
          </w:tcPr>
          <w:p>
            <w:r>
              <w:t>57.2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0.2</w:t>
            </w:r>
          </w:p>
        </w:tc>
        <w:tc>
          <w:tcPr>
            <w:vAlign w:val="center"/>
          </w:tcPr>
          <w:p>
            <w:r>
              <w:t>2.0</w:t>
            </w:r>
          </w:p>
        </w:tc>
        <w:tc>
          <w:tcPr>
            <w:vAlign w:val="center"/>
          </w:tcPr>
          <w:p>
            <w:r>
              <w:t>3.7</w:t>
            </w:r>
          </w:p>
        </w:tc>
        <w:tc>
          <w:tcPr>
            <w:vAlign w:val="center"/>
          </w:tcPr>
          <w:p>
            <w:r>
              <w:t>1.9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办公室(办公建筑)外窗</w:t>
            </w:r>
          </w:p>
        </w:tc>
        <w:tc>
          <w:tcPr>
            <w:vAlign w:val="center"/>
          </w:tcPr>
          <w:p>
            <w:r>
              <w:t>构造名称</w:t>
            </w:r>
          </w:p>
        </w:tc>
        <w:tc>
          <w:tcPr>
            <w:gridSpan w:val="5"/>
            <w:vAlign w:val="center"/>
          </w:tcPr>
          <w:p>
            <w:r>
              <w:t>6＋12A＋6高透低辐射玻璃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35.8</w:t>
            </w:r>
          </w:p>
        </w:tc>
        <w:tc>
          <w:tcPr>
            <w:vAlign w:val="center"/>
          </w:tcPr>
          <w:p>
            <w:r>
              <w:t>43.0</w:t>
            </w:r>
          </w:p>
        </w:tc>
        <w:tc>
          <w:tcPr>
            <w:vAlign w:val="center"/>
          </w:tcPr>
          <w:p>
            <w:r>
              <w:t>48.3</w:t>
            </w:r>
          </w:p>
        </w:tc>
        <w:tc>
          <w:tcPr>
            <w:vAlign w:val="center"/>
          </w:tcPr>
          <w:p>
            <w:r>
              <w:t>53.1</w:t>
            </w:r>
          </w:p>
        </w:tc>
        <w:tc>
          <w:tcPr>
            <w:vAlign w:val="center"/>
          </w:tcPr>
          <w:p>
            <w:r>
              <w:t>57.2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0.2</w:t>
            </w:r>
          </w:p>
        </w:tc>
        <w:tc>
          <w:tcPr>
            <w:vAlign w:val="center"/>
          </w:tcPr>
          <w:p>
            <w:r>
              <w:t>2.0</w:t>
            </w:r>
          </w:p>
        </w:tc>
        <w:tc>
          <w:tcPr>
            <w:vAlign w:val="center"/>
          </w:tcPr>
          <w:p>
            <w:r>
              <w:t>3.7</w:t>
            </w:r>
          </w:p>
        </w:tc>
        <w:tc>
          <w:tcPr>
            <w:vAlign w:val="center"/>
          </w:tcPr>
          <w:p>
            <w:r>
              <w:t>1.9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计权隔声量</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73" w:name="门窗空气声隔声量"/>
      <w:bookmarkEnd w:id="73"/>
    </w:p>
    <w:p>
      <w:pPr>
        <w:pStyle w:val="2"/>
      </w:pPr>
      <w:bookmarkStart w:id="74" w:name="_Toc23146"/>
      <w:r>
        <w:rPr>
          <w:rFonts w:hint="eastAsia"/>
        </w:rPr>
        <w:t>楼板撞击声隔声性能</w:t>
      </w:r>
      <w:bookmarkEnd w:id="74"/>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0"/>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62336;mso-width-relative:page;mso-height-relative:page;" o:ole="t" filled="f" o:preferrelative="t" stroked="f" coordsize="21600,21600">
            <v:path/>
            <v:fill on="f" focussize="0,0"/>
            <v:stroke on="f" joinstyle="miter"/>
            <v:imagedata r:id="rId45" o:title=""/>
            <o:lock v:ext="edit" aspectratio="t"/>
          </v:shape>
          <o:OLEObject Type="Embed" ProgID="Equation.DSMT4" ShapeID="_x0000_s1149" DrawAspect="Content" ObjectID="_1468075744" r:id="rId51">
            <o:LockedField>false</o:LockedField>
          </o:OLEObject>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object>
          <v:shape id="_x0000_i1041" o:spt="75" type="#_x0000_t75" style="height:12.9pt;width:7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5" r:id="rId52">
            <o:LockedField>false</o:LockedField>
          </o:OLEObject>
        </w:obje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object>
          <v:shape id="_x0000_i1042"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6" r:id="rId54">
            <o:LockedField>false</o:LockedField>
          </o:OLEObject>
        </w:obje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63360;mso-width-relative:page;mso-height-relative:page;" o:ole="t" filled="f" o:preferrelative="t" stroked="f" coordsize="21600,21600">
            <v:path/>
            <v:fill on="f" focussize="0,0"/>
            <v:stroke on="f" joinstyle="miter"/>
            <v:imagedata r:id="rId56" o:title=""/>
            <o:lock v:ext="edit" aspectratio="t"/>
          </v:shape>
          <o:OLEObject Type="Embed" ProgID="Equation.DSMT4" ShapeID="_x0000_s1150" DrawAspect="Content" ObjectID="_1468075747" r:id="rId55">
            <o:LockedField>false</o:LockedField>
          </o:OLEObject>
        </w:pict>
      </w:r>
    </w:p>
    <w:p>
      <w:r>
        <w:rPr>
          <w:rFonts w:hint="eastAsia"/>
        </w:rPr>
        <w:t xml:space="preserve">                                                                             （</w:t>
      </w:r>
      <w:r>
        <w:t>6</w:t>
      </w:r>
      <w:r>
        <w:rPr>
          <w:rFonts w:hint="eastAsia"/>
        </w:rPr>
        <w:t>.2）</w:t>
      </w:r>
    </w:p>
    <w:p/>
    <w:p>
      <w:r>
        <w:rPr>
          <w:rFonts w:hint="eastAsia"/>
          <w:kern w:val="2"/>
          <w:szCs w:val="21"/>
          <w:lang w:val="en-US"/>
        </w:rPr>
        <w:t>式中：</w:t>
      </w:r>
      <w:r>
        <w:rPr>
          <w:position w:val="-12"/>
        </w:rPr>
        <w:object>
          <v:shape id="_x0000_i1043" o:spt="75" type="#_x0000_t75" style="height:18.8pt;width:19.9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8" r:id="rId57">
            <o:LockedField>false</o:LockedField>
          </o:OLEObject>
        </w:object>
      </w:r>
      <w:r>
        <w:rPr>
          <w:rFonts w:hint="eastAsia"/>
        </w:rPr>
        <w:t>—</w:t>
      </w:r>
      <w:r>
        <w:rPr>
          <w:rFonts w:hint="eastAsia"/>
          <w:kern w:val="2"/>
          <w:szCs w:val="21"/>
          <w:lang w:val="en-US"/>
        </w:rPr>
        <w:t xml:space="preserve"> 撞击声隔声计权单值评价量；</w:t>
      </w:r>
    </w:p>
    <w:p>
      <w:pPr>
        <w:ind w:firstLine="735" w:firstLineChars="350"/>
      </w:pPr>
      <w:r>
        <w:rPr>
          <w:position w:val="-12"/>
        </w:rPr>
        <w:object>
          <v:shape id="_x0000_i1044"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9" r:id="rId58">
            <o:LockedField>false</o:LockedField>
          </o:OLEObject>
        </w:obje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object>
          <v:shape id="_x0000_i1045"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50" r:id="rId59">
            <o:LockedField>false</o:LockedField>
          </o:OLEObject>
        </w:obje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829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18"/>
        <w:gridCol w:w="820"/>
        <w:gridCol w:w="820"/>
        <w:gridCol w:w="820"/>
        <w:gridCol w:w="820"/>
        <w:gridCol w:w="820"/>
        <w:gridCol w:w="848"/>
        <w:gridCol w:w="1273"/>
        <w:gridCol w:w="8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构件</w:t>
            </w:r>
          </w:p>
        </w:tc>
        <w:tc>
          <w:tcPr>
            <w:gridSpan w:val="5"/>
            <w:shd w:val="clear" w:color="auto" w:fill="E6E6E6"/>
            <w:vAlign w:val="center"/>
          </w:tcPr>
          <w:p>
            <w:pPr>
              <w:jc w:val="center"/>
            </w:pPr>
            <w:r>
              <w:rPr>
                <w:sz w:val="18"/>
                <w:szCs w:val="18"/>
              </w:rPr>
              <w:t>规范化撞击声压级(dB)</w:t>
            </w:r>
            <w:r>
              <w:rPr>
                <w:sz w:val="18"/>
                <w:szCs w:val="18"/>
              </w:rPr>
              <w:br w:type="textWrapping"/>
            </w:r>
            <w:r>
              <w:rPr>
                <w:sz w:val="18"/>
                <w:szCs w:val="18"/>
              </w:rPr>
              <w:t>不利偏差(dB)</w:t>
            </w:r>
          </w:p>
        </w:tc>
        <w:tc>
          <w:tcPr>
            <w:vMerge w:val="restart"/>
            <w:shd w:val="clear" w:color="auto" w:fill="E6E6E6"/>
            <w:vAlign w:val="center"/>
          </w:tcPr>
          <w:p>
            <w:pPr>
              <w:jc w:val="center"/>
            </w:pPr>
            <w:r>
              <w:rPr>
                <w:sz w:val="18"/>
                <w:szCs w:val="18"/>
              </w:rPr>
              <w:t>计权规范化撞击声压级(dB)</w:t>
            </w:r>
          </w:p>
        </w:tc>
        <w:tc>
          <w:tcPr>
            <w:vMerge w:val="restart"/>
            <w:shd w:val="clear" w:color="auto" w:fill="E6E6E6"/>
            <w:vAlign w:val="center"/>
          </w:tcPr>
          <w:p>
            <w:pPr>
              <w:jc w:val="center"/>
            </w:pPr>
            <w:r>
              <w:rPr>
                <w:sz w:val="18"/>
                <w:szCs w:val="18"/>
              </w:rPr>
              <w:t>标准限值</w:t>
            </w:r>
          </w:p>
        </w:tc>
        <w:tc>
          <w:tcPr>
            <w:vMerge w:val="restart"/>
            <w:shd w:val="clear" w:color="auto" w:fill="E6E6E6"/>
            <w:vAlign w:val="center"/>
          </w:tcPr>
          <w:p>
            <w:pPr>
              <w:jc w:val="center"/>
            </w:pPr>
            <w:r>
              <w:rPr>
                <w:sz w:val="18"/>
                <w:szCs w:val="18"/>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gridSpan w:val="5"/>
            <w:shd w:val="clear" w:color="auto" w:fill="E6E6E6"/>
            <w:vAlign w:val="center"/>
          </w:tcPr>
          <w:p>
            <w:pPr>
              <w:jc w:val="center"/>
            </w:pPr>
            <w:r>
              <w:rPr>
                <w:sz w:val="18"/>
                <w:szCs w:val="18"/>
              </w:rPr>
              <w:t>倍频程中心频率(dB)</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shd w:val="clear" w:color="auto" w:fill="E6E6E6"/>
            <w:vAlign w:val="center"/>
          </w:tcPr>
          <w:p>
            <w:pPr>
              <w:jc w:val="center"/>
            </w:pPr>
            <w:r>
              <w:rPr>
                <w:sz w:val="18"/>
                <w:szCs w:val="18"/>
              </w:rPr>
              <w:t>125Hz</w:t>
            </w:r>
          </w:p>
        </w:tc>
        <w:tc>
          <w:tcPr>
            <w:shd w:val="clear" w:color="auto" w:fill="E6E6E6"/>
            <w:vAlign w:val="center"/>
          </w:tcPr>
          <w:p>
            <w:pPr>
              <w:jc w:val="center"/>
            </w:pPr>
            <w:r>
              <w:rPr>
                <w:sz w:val="18"/>
                <w:szCs w:val="18"/>
              </w:rPr>
              <w:t>250Hz</w:t>
            </w:r>
          </w:p>
        </w:tc>
        <w:tc>
          <w:tcPr>
            <w:shd w:val="clear" w:color="auto" w:fill="E6E6E6"/>
            <w:vAlign w:val="center"/>
          </w:tcPr>
          <w:p>
            <w:pPr>
              <w:jc w:val="center"/>
            </w:pPr>
            <w:r>
              <w:rPr>
                <w:sz w:val="18"/>
                <w:szCs w:val="18"/>
              </w:rPr>
              <w:t>500Hz</w:t>
            </w:r>
          </w:p>
        </w:tc>
        <w:tc>
          <w:tcPr>
            <w:shd w:val="clear" w:color="auto" w:fill="E6E6E6"/>
            <w:vAlign w:val="center"/>
          </w:tcPr>
          <w:p>
            <w:pPr>
              <w:jc w:val="center"/>
            </w:pPr>
            <w:r>
              <w:rPr>
                <w:sz w:val="18"/>
                <w:szCs w:val="18"/>
              </w:rPr>
              <w:t>1000Hz</w:t>
            </w:r>
          </w:p>
        </w:tc>
        <w:tc>
          <w:tcPr>
            <w:shd w:val="clear" w:color="auto" w:fill="E6E6E6"/>
            <w:vAlign w:val="center"/>
          </w:tcPr>
          <w:p>
            <w:pPr>
              <w:jc w:val="center"/>
            </w:pPr>
            <w:r>
              <w:rPr>
                <w:sz w:val="18"/>
                <w:szCs w:val="18"/>
              </w:rPr>
              <w:t>2000Hz</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起居室的分户楼板</w:t>
            </w:r>
          </w:p>
        </w:tc>
        <w:tc>
          <w:tcPr>
            <w:vAlign w:val="center"/>
          </w:tcPr>
          <w:p>
            <w:r>
              <w:rPr>
                <w:sz w:val="18"/>
                <w:szCs w:val="18"/>
              </w:rPr>
              <w:t>63.0</w:t>
            </w:r>
          </w:p>
        </w:tc>
        <w:tc>
          <w:tcPr>
            <w:vAlign w:val="center"/>
          </w:tcPr>
          <w:p>
            <w:r>
              <w:rPr>
                <w:sz w:val="18"/>
                <w:szCs w:val="18"/>
              </w:rPr>
              <w:t>65.0</w:t>
            </w:r>
          </w:p>
        </w:tc>
        <w:tc>
          <w:tcPr>
            <w:vAlign w:val="center"/>
          </w:tcPr>
          <w:p>
            <w:r>
              <w:rPr>
                <w:sz w:val="18"/>
                <w:szCs w:val="18"/>
              </w:rPr>
              <w:t>56.0</w:t>
            </w:r>
          </w:p>
        </w:tc>
        <w:tc>
          <w:tcPr>
            <w:vAlign w:val="center"/>
          </w:tcPr>
          <w:p>
            <w:r>
              <w:rPr>
                <w:sz w:val="18"/>
                <w:szCs w:val="18"/>
              </w:rPr>
              <w:t>48.0</w:t>
            </w:r>
          </w:p>
        </w:tc>
        <w:tc>
          <w:tcPr>
            <w:vAlign w:val="center"/>
          </w:tcPr>
          <w:p>
            <w:r>
              <w:rPr>
                <w:sz w:val="18"/>
                <w:szCs w:val="18"/>
              </w:rPr>
              <w:t>42.0</w:t>
            </w:r>
          </w:p>
        </w:tc>
        <w:tc>
          <w:tcPr>
            <w:vMerge w:val="restart"/>
            <w:vAlign w:val="center"/>
          </w:tcPr>
          <w:p>
            <w:r>
              <w:rPr>
                <w:b/>
                <w:sz w:val="18"/>
                <w:szCs w:val="18"/>
              </w:rPr>
              <w:t>53</w:t>
            </w:r>
          </w:p>
        </w:tc>
        <w:tc>
          <w:tcPr>
            <w:vMerge w:val="restart"/>
            <w:vAlign w:val="center"/>
          </w:tcPr>
          <w:p>
            <w:r>
              <w:rPr>
                <w:sz w:val="18"/>
                <w:szCs w:val="18"/>
              </w:rPr>
              <w:t>低限:&lt;75,高要求:&lt;65</w:t>
            </w:r>
          </w:p>
        </w:tc>
        <w:tc>
          <w:tcPr>
            <w:vMerge w:val="restart"/>
            <w:vAlign w:val="center"/>
          </w:tcPr>
          <w:p>
            <w:r>
              <w:rPr>
                <w:b/>
                <w:sz w:val="18"/>
                <w:szCs w:val="18"/>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3.0</w:t>
            </w:r>
          </w:p>
        </w:tc>
        <w:tc>
          <w:tcPr>
            <w:vAlign w:val="center"/>
          </w:tcPr>
          <w:p>
            <w:r>
              <w:rPr>
                <w:sz w:val="18"/>
                <w:szCs w:val="18"/>
              </w:rPr>
              <w:t>5.0</w:t>
            </w: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卧室的分户楼板</w:t>
            </w:r>
          </w:p>
        </w:tc>
        <w:tc>
          <w:tcPr>
            <w:vAlign w:val="center"/>
          </w:tcPr>
          <w:p>
            <w:r>
              <w:rPr>
                <w:sz w:val="18"/>
                <w:szCs w:val="18"/>
              </w:rPr>
              <w:t>63.0</w:t>
            </w:r>
          </w:p>
        </w:tc>
        <w:tc>
          <w:tcPr>
            <w:vAlign w:val="center"/>
          </w:tcPr>
          <w:p>
            <w:r>
              <w:rPr>
                <w:sz w:val="18"/>
                <w:szCs w:val="18"/>
              </w:rPr>
              <w:t>65.0</w:t>
            </w:r>
          </w:p>
        </w:tc>
        <w:tc>
          <w:tcPr>
            <w:vAlign w:val="center"/>
          </w:tcPr>
          <w:p>
            <w:r>
              <w:rPr>
                <w:sz w:val="18"/>
                <w:szCs w:val="18"/>
              </w:rPr>
              <w:t>56.0</w:t>
            </w:r>
          </w:p>
        </w:tc>
        <w:tc>
          <w:tcPr>
            <w:vAlign w:val="center"/>
          </w:tcPr>
          <w:p>
            <w:r>
              <w:rPr>
                <w:sz w:val="18"/>
                <w:szCs w:val="18"/>
              </w:rPr>
              <w:t>48.0</w:t>
            </w:r>
          </w:p>
        </w:tc>
        <w:tc>
          <w:tcPr>
            <w:vAlign w:val="center"/>
          </w:tcPr>
          <w:p>
            <w:r>
              <w:rPr>
                <w:sz w:val="18"/>
                <w:szCs w:val="18"/>
              </w:rPr>
              <w:t>42.0</w:t>
            </w:r>
          </w:p>
        </w:tc>
        <w:tc>
          <w:tcPr>
            <w:vMerge w:val="restart"/>
            <w:vAlign w:val="center"/>
          </w:tcPr>
          <w:p>
            <w:r>
              <w:rPr>
                <w:b/>
                <w:sz w:val="18"/>
                <w:szCs w:val="18"/>
              </w:rPr>
              <w:t>53</w:t>
            </w:r>
          </w:p>
        </w:tc>
        <w:tc>
          <w:tcPr>
            <w:vMerge w:val="restart"/>
            <w:vAlign w:val="center"/>
          </w:tcPr>
          <w:p>
            <w:r>
              <w:rPr>
                <w:sz w:val="18"/>
                <w:szCs w:val="18"/>
              </w:rPr>
              <w:t>低限:&lt;75,高要求:&lt;65</w:t>
            </w:r>
          </w:p>
        </w:tc>
        <w:tc>
          <w:tcPr>
            <w:vMerge w:val="restart"/>
            <w:vAlign w:val="center"/>
          </w:tcPr>
          <w:p>
            <w:r>
              <w:rPr>
                <w:b/>
                <w:sz w:val="18"/>
                <w:szCs w:val="18"/>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3.0</w:t>
            </w:r>
          </w:p>
        </w:tc>
        <w:tc>
          <w:tcPr>
            <w:vAlign w:val="center"/>
          </w:tcPr>
          <w:p>
            <w:r>
              <w:rPr>
                <w:sz w:val="18"/>
                <w:szCs w:val="18"/>
              </w:rPr>
              <w:t>5.0</w:t>
            </w: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办公室(办公建筑)顶板</w:t>
            </w:r>
          </w:p>
        </w:tc>
        <w:tc>
          <w:tcPr>
            <w:vAlign w:val="center"/>
          </w:tcPr>
          <w:p>
            <w:r>
              <w:rPr>
                <w:sz w:val="18"/>
                <w:szCs w:val="18"/>
              </w:rPr>
              <w:t>63.0</w:t>
            </w:r>
          </w:p>
        </w:tc>
        <w:tc>
          <w:tcPr>
            <w:vAlign w:val="center"/>
          </w:tcPr>
          <w:p>
            <w:r>
              <w:rPr>
                <w:sz w:val="18"/>
                <w:szCs w:val="18"/>
              </w:rPr>
              <w:t>65.0</w:t>
            </w:r>
          </w:p>
        </w:tc>
        <w:tc>
          <w:tcPr>
            <w:vAlign w:val="center"/>
          </w:tcPr>
          <w:p>
            <w:r>
              <w:rPr>
                <w:sz w:val="18"/>
                <w:szCs w:val="18"/>
              </w:rPr>
              <w:t>56.0</w:t>
            </w:r>
          </w:p>
        </w:tc>
        <w:tc>
          <w:tcPr>
            <w:vAlign w:val="center"/>
          </w:tcPr>
          <w:p>
            <w:r>
              <w:rPr>
                <w:sz w:val="18"/>
                <w:szCs w:val="18"/>
              </w:rPr>
              <w:t>48.0</w:t>
            </w:r>
          </w:p>
        </w:tc>
        <w:tc>
          <w:tcPr>
            <w:vAlign w:val="center"/>
          </w:tcPr>
          <w:p>
            <w:r>
              <w:rPr>
                <w:sz w:val="18"/>
                <w:szCs w:val="18"/>
              </w:rPr>
              <w:t>42.0</w:t>
            </w:r>
          </w:p>
        </w:tc>
        <w:tc>
          <w:tcPr>
            <w:vMerge w:val="restart"/>
            <w:vAlign w:val="center"/>
          </w:tcPr>
          <w:p>
            <w:r>
              <w:rPr>
                <w:b/>
                <w:sz w:val="18"/>
                <w:szCs w:val="18"/>
              </w:rPr>
              <w:t>53</w:t>
            </w:r>
          </w:p>
        </w:tc>
        <w:tc>
          <w:tcPr>
            <w:vMerge w:val="restart"/>
            <w:vAlign w:val="center"/>
          </w:tcPr>
          <w:p>
            <w:r>
              <w:rPr>
                <w:sz w:val="18"/>
                <w:szCs w:val="18"/>
              </w:rPr>
              <w:t>低限:&lt;75,高要求:&lt;65</w:t>
            </w:r>
          </w:p>
        </w:tc>
        <w:tc>
          <w:tcPr>
            <w:vMerge w:val="restart"/>
            <w:vAlign w:val="center"/>
          </w:tcPr>
          <w:p>
            <w:r>
              <w:rPr>
                <w:b/>
                <w:sz w:val="18"/>
                <w:szCs w:val="18"/>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3.0</w:t>
            </w:r>
          </w:p>
        </w:tc>
        <w:tc>
          <w:tcPr>
            <w:vAlign w:val="center"/>
          </w:tcPr>
          <w:p>
            <w:r>
              <w:rPr>
                <w:sz w:val="18"/>
                <w:szCs w:val="18"/>
              </w:rPr>
              <w:t>5.0</w:t>
            </w: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bl>
    <w:p>
      <w:pPr>
        <w:pStyle w:val="13"/>
        <w:ind w:left="210" w:firstLine="420" w:firstLineChars="0"/>
        <w:jc w:val="left"/>
        <w:rPr>
          <w:rFonts w:ascii="Times New Roman" w:hAnsi="Times New Roman" w:eastAsia="宋体"/>
          <w:kern w:val="0"/>
          <w:sz w:val="21"/>
          <w:szCs w:val="21"/>
          <w:lang w:val="en-GB"/>
        </w:rPr>
      </w:pPr>
      <w:bookmarkStart w:id="75" w:name="撞击声隔声"/>
      <w:bookmarkEnd w:id="75"/>
    </w:p>
    <w:bookmarkEnd w:id="26"/>
    <w:p>
      <w:pPr>
        <w:pStyle w:val="2"/>
        <w:rPr>
          <w:kern w:val="2"/>
        </w:rPr>
      </w:pPr>
      <w:bookmarkStart w:id="76" w:name="_Toc5879"/>
      <w:r>
        <w:rPr>
          <w:rFonts w:hint="eastAsia"/>
          <w:kern w:val="2"/>
        </w:rPr>
        <w:t>结论</w:t>
      </w:r>
      <w:bookmarkEnd w:id="76"/>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2520" w:firstLineChars="1200"/>
        <w:rPr>
          <w:rFonts w:ascii="黑体" w:hAnsi="黑体" w:eastAsia="黑体"/>
          <w:kern w:val="0"/>
          <w:sz w:val="21"/>
          <w:szCs w:val="20"/>
        </w:rPr>
      </w:pP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FFFFFF" w:sz="18" w:space="0"/>
              <w:right w:val="single" w:color="4F81BD" w:sz="8" w:space="0"/>
            </w:tcBorders>
            <w:shd w:val="clear" w:color="auto" w:fill="4F81BD"/>
            <w:vAlign w:val="center"/>
          </w:tcPr>
          <w:p>
            <w:pPr>
              <w:jc w:val="center"/>
              <w:rPr>
                <w:color w:val="FFFFFF"/>
              </w:rPr>
            </w:pPr>
            <w:r>
              <w:rPr>
                <w:color w:val="FFFFFF"/>
              </w:rPr>
              <w:t>构件</w:t>
            </w:r>
          </w:p>
        </w:tc>
        <w:tc>
          <w:tcPr>
            <w:tcBorders>
              <w:top w:val="single" w:color="4F81BD" w:sz="8" w:space="0"/>
              <w:left w:val="single" w:color="4F81BD" w:sz="8" w:space="0"/>
              <w:bottom w:val="single" w:color="FFFFFF" w:sz="18" w:space="0"/>
              <w:right w:val="single" w:color="4F81BD" w:sz="8" w:space="0"/>
            </w:tcBorders>
            <w:shd w:val="clear" w:color="auto" w:fill="4F81BD"/>
            <w:vAlign w:val="center"/>
          </w:tcPr>
          <w:p>
            <w:pPr>
              <w:jc w:val="center"/>
              <w:rPr>
                <w:color w:val="FFFFFF"/>
              </w:rPr>
            </w:pPr>
            <w:r>
              <w:rPr>
                <w:color w:val="FFFFFF"/>
              </w:rPr>
              <w:t>单值评价量+频谱修正量</w:t>
            </w:r>
          </w:p>
        </w:tc>
        <w:tc>
          <w:tcPr>
            <w:tcBorders>
              <w:top w:val="single" w:color="4F81BD" w:sz="8" w:space="0"/>
              <w:left w:val="single" w:color="4F81BD" w:sz="8" w:space="0"/>
              <w:bottom w:val="single" w:color="FFFFFF" w:sz="18" w:space="0"/>
              <w:right w:val="single" w:color="4F81BD" w:sz="8" w:space="0"/>
            </w:tcBorders>
            <w:shd w:val="clear" w:color="auto" w:fill="4F81BD"/>
            <w:vAlign w:val="center"/>
          </w:tcPr>
          <w:p>
            <w:pPr>
              <w:jc w:val="center"/>
              <w:rPr>
                <w:color w:val="FFFFFF"/>
              </w:rPr>
            </w:pPr>
            <w:r>
              <w:rPr>
                <w:color w:val="FFFFFF"/>
              </w:rPr>
              <w:t>标准限值</w:t>
            </w:r>
          </w:p>
        </w:tc>
        <w:tc>
          <w:tcPr>
            <w:tcBorders>
              <w:top w:val="single" w:color="4F81BD" w:sz="8" w:space="0"/>
              <w:left w:val="single" w:color="4F81BD" w:sz="8" w:space="0"/>
              <w:bottom w:val="single" w:color="FFFFFF" w:sz="18" w:space="0"/>
              <w:right w:val="single" w:color="4F81BD" w:sz="8" w:space="0"/>
            </w:tcBorders>
            <w:shd w:val="clear" w:color="auto" w:fill="4F81BD"/>
            <w:vAlign w:val="center"/>
          </w:tcPr>
          <w:p>
            <w:pPr>
              <w:jc w:val="center"/>
              <w:rPr>
                <w:color w:val="FFFFFF"/>
              </w:rPr>
            </w:pPr>
            <w:r>
              <w:rPr>
                <w:color w:val="FFFFFF"/>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FFFFFF" w:sz="1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卧室墙</w:t>
            </w:r>
          </w:p>
        </w:tc>
        <w:tc>
          <w:tcPr>
            <w:tcBorders>
              <w:top w:val="single" w:color="FFFFFF" w:sz="1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54</w:t>
            </w:r>
          </w:p>
        </w:tc>
        <w:tc>
          <w:tcPr>
            <w:tcBorders>
              <w:top w:val="single" w:color="FFFFFF" w:sz="1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低限:≥35</w:t>
            </w:r>
          </w:p>
        </w:tc>
        <w:tc>
          <w:tcPr>
            <w:tcBorders>
              <w:top w:val="single" w:color="FFFFFF" w:sz="1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起居室墙</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54</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低限:≥30</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起居室外墙</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52</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低限:≥45,高要求:≥50</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办公室(办公建筑)与普通房间之间隔墙</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54</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低限:&gt;45,高要求:&gt;50</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办公室(办公建筑)外墙</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52</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低限:≥45,高要求:≥50</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卧室外墙</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52</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低限:≥45,高要求:≥50</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分户墙</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54</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低限:&gt;45,高要求:&gt;50</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分户楼板</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52</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低限:&gt;45,高要求:&gt;50</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办公室(办公建筑)与普通房间之间楼板</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52</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低限:&gt;45,高要求:&gt;50</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办公室(办公建筑)的门</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49</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低限:≥20,高要求:≥25</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住宅建筑中其他外窗</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47</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低限:≥25,高要求:≥30</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办公室(办公建筑)外窗</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47</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低限:≥25,高要求:≥30</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满足高要求</w:t>
            </w:r>
          </w:p>
        </w:tc>
      </w:tr>
    </w:tbl>
    <w:p>
      <w:pPr>
        <w:pStyle w:val="13"/>
        <w:spacing w:line="360" w:lineRule="auto"/>
        <w:ind w:firstLine="0" w:firstLineChars="0"/>
        <w:rPr>
          <w:rFonts w:ascii="宋体" w:hAnsi="宋体" w:eastAsia="宋体"/>
          <w:sz w:val="21"/>
          <w:szCs w:val="21"/>
        </w:rPr>
      </w:pPr>
      <w:bookmarkStart w:id="77" w:name="构件隔声性能统计"/>
      <w:bookmarkEnd w:id="77"/>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lang w:val="en-US" w:eastAsia="zh-CN"/>
        </w:rPr>
        <w:t xml:space="preserve">      </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FFFFFF" w:sz="18" w:space="0"/>
              <w:right w:val="single" w:color="4F81BD" w:sz="8" w:space="0"/>
            </w:tcBorders>
            <w:shd w:val="clear" w:color="auto" w:fill="4F81BD"/>
            <w:vAlign w:val="center"/>
          </w:tcPr>
          <w:p>
            <w:pPr>
              <w:jc w:val="center"/>
              <w:rPr>
                <w:color w:val="FFFFFF"/>
              </w:rPr>
            </w:pPr>
            <w:r>
              <w:rPr>
                <w:color w:val="FFFFFF"/>
              </w:rPr>
              <w:t>构件</w:t>
            </w:r>
          </w:p>
        </w:tc>
        <w:tc>
          <w:tcPr>
            <w:tcBorders>
              <w:top w:val="single" w:color="4F81BD" w:sz="8" w:space="0"/>
              <w:left w:val="single" w:color="4F81BD" w:sz="8" w:space="0"/>
              <w:bottom w:val="single" w:color="FFFFFF" w:sz="18" w:space="0"/>
              <w:right w:val="single" w:color="4F81BD" w:sz="8" w:space="0"/>
            </w:tcBorders>
            <w:shd w:val="clear" w:color="auto" w:fill="4F81BD"/>
            <w:vAlign w:val="center"/>
          </w:tcPr>
          <w:p>
            <w:pPr>
              <w:jc w:val="center"/>
              <w:rPr>
                <w:color w:val="FFFFFF"/>
              </w:rPr>
            </w:pPr>
            <w:r>
              <w:rPr>
                <w:color w:val="FFFFFF"/>
              </w:rPr>
              <w:t>计权规范化撞击声压级</w:t>
            </w:r>
          </w:p>
        </w:tc>
        <w:tc>
          <w:tcPr>
            <w:tcBorders>
              <w:top w:val="single" w:color="4F81BD" w:sz="8" w:space="0"/>
              <w:left w:val="single" w:color="4F81BD" w:sz="8" w:space="0"/>
              <w:bottom w:val="single" w:color="FFFFFF" w:sz="18" w:space="0"/>
              <w:right w:val="single" w:color="4F81BD" w:sz="8" w:space="0"/>
            </w:tcBorders>
            <w:shd w:val="clear" w:color="auto" w:fill="4F81BD"/>
            <w:vAlign w:val="center"/>
          </w:tcPr>
          <w:p>
            <w:pPr>
              <w:jc w:val="center"/>
              <w:rPr>
                <w:color w:val="FFFFFF"/>
              </w:rPr>
            </w:pPr>
            <w:r>
              <w:rPr>
                <w:color w:val="FFFFFF"/>
              </w:rPr>
              <w:t>标准限值</w:t>
            </w:r>
          </w:p>
        </w:tc>
        <w:tc>
          <w:tcPr>
            <w:tcBorders>
              <w:top w:val="single" w:color="4F81BD" w:sz="8" w:space="0"/>
              <w:left w:val="single" w:color="4F81BD" w:sz="8" w:space="0"/>
              <w:bottom w:val="single" w:color="FFFFFF" w:sz="18" w:space="0"/>
              <w:right w:val="single" w:color="4F81BD" w:sz="8" w:space="0"/>
            </w:tcBorders>
            <w:shd w:val="clear" w:color="auto" w:fill="4F81BD"/>
            <w:vAlign w:val="center"/>
          </w:tcPr>
          <w:p>
            <w:pPr>
              <w:jc w:val="center"/>
              <w:rPr>
                <w:color w:val="FFFFFF"/>
              </w:rPr>
            </w:pPr>
            <w:r>
              <w:rPr>
                <w:color w:val="FFFFFF"/>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FFFFFF" w:sz="1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起居室的分户楼板</w:t>
            </w:r>
          </w:p>
        </w:tc>
        <w:tc>
          <w:tcPr>
            <w:tcBorders>
              <w:top w:val="single" w:color="FFFFFF" w:sz="1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53</w:t>
            </w:r>
          </w:p>
        </w:tc>
        <w:tc>
          <w:tcPr>
            <w:tcBorders>
              <w:top w:val="single" w:color="FFFFFF" w:sz="1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低限:&lt;75,高要求:&lt;65</w:t>
            </w:r>
          </w:p>
        </w:tc>
        <w:tc>
          <w:tcPr>
            <w:tcBorders>
              <w:top w:val="single" w:color="FFFFFF" w:sz="1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卧室的分户楼板</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53</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color w:val="000000"/>
              </w:rPr>
              <w:t>低限:&lt;75,高要求:&lt;65</w:t>
            </w:r>
          </w:p>
        </w:tc>
        <w:tc>
          <w:tcPr>
            <w:tcBorders>
              <w:top w:val="single" w:color="4F81BD" w:sz="8" w:space="0"/>
              <w:left w:val="single" w:color="4F81BD" w:sz="8" w:space="0"/>
              <w:bottom w:val="single" w:color="4F81BD" w:sz="8" w:space="0"/>
              <w:right w:val="single" w:color="4F81BD" w:sz="8" w:space="0"/>
            </w:tcBorders>
            <w:shd w:val="clear" w:color="auto" w:fill="FFFFFF"/>
            <w:vAlign w:val="center"/>
          </w:tcPr>
          <w:p>
            <w:pPr>
              <w:rPr>
                <w:color w:val="000000"/>
              </w:rPr>
            </w:pPr>
            <w:r>
              <w:rPr>
                <w:b/>
                <w:color w:val="000000"/>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办公室(办公建筑)顶板</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53</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color w:val="000000"/>
              </w:rPr>
              <w:t>低限:&lt;75,高要求:&lt;65</w:t>
            </w:r>
          </w:p>
        </w:tc>
        <w:tc>
          <w:tcPr>
            <w:tcBorders>
              <w:top w:val="single" w:color="4F81BD" w:sz="8" w:space="0"/>
              <w:left w:val="single" w:color="4F81BD" w:sz="8" w:space="0"/>
              <w:bottom w:val="single" w:color="4F81BD" w:sz="8" w:space="0"/>
              <w:right w:val="single" w:color="4F81BD" w:sz="8" w:space="0"/>
            </w:tcBorders>
            <w:shd w:val="clear" w:color="auto" w:fill="B8CCE4"/>
            <w:vAlign w:val="center"/>
          </w:tcPr>
          <w:p>
            <w:pPr>
              <w:rPr>
                <w:color w:val="000000"/>
              </w:rPr>
            </w:pPr>
            <w:r>
              <w:rPr>
                <w:b/>
                <w:color w:val="000000"/>
              </w:rPr>
              <w:t>满足高要求</w:t>
            </w:r>
          </w:p>
        </w:tc>
      </w:tr>
    </w:tbl>
    <w:p>
      <w:pPr>
        <w:pStyle w:val="13"/>
        <w:spacing w:line="360" w:lineRule="auto"/>
        <w:ind w:firstLine="0" w:firstLineChars="0"/>
        <w:rPr>
          <w:rFonts w:ascii="宋体" w:hAnsi="宋体" w:eastAsia="宋体"/>
          <w:sz w:val="21"/>
          <w:szCs w:val="21"/>
        </w:rPr>
      </w:pPr>
      <w:bookmarkStart w:id="78" w:name="撞击声隔声性能统计"/>
      <w:bookmarkEnd w:id="78"/>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lang w:val="en-US" w:eastAsia="zh-CN"/>
        </w:rPr>
        <w:t xml:space="preserve">       </w:t>
      </w:r>
      <w:bookmarkStart w:id="85" w:name="_GoBack"/>
      <w:bookmarkEnd w:id="85"/>
      <w:r>
        <w:rPr>
          <w:rFonts w:hint="eastAsia" w:ascii="黑体" w:hAnsi="黑体" w:eastAsia="黑体"/>
          <w:kern w:val="0"/>
          <w:sz w:val="21"/>
          <w:szCs w:val="20"/>
        </w:rPr>
        <w:t>围护结构隔声性能评价结果                单位：</w:t>
      </w:r>
      <w:r>
        <w:rPr>
          <w:rFonts w:ascii="黑体" w:hAnsi="黑体" w:eastAsia="黑体"/>
          <w:kern w:val="0"/>
          <w:sz w:val="21"/>
          <w:szCs w:val="20"/>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93" w:type="dxa"/>
            <w:tcBorders>
              <w:top w:val="single" w:color="4F81BD" w:sz="8" w:space="0"/>
              <w:left w:val="single" w:color="4F81BD" w:sz="8" w:space="0"/>
              <w:bottom w:val="single" w:color="FFFFFF" w:sz="18" w:space="0"/>
              <w:right w:val="single" w:color="4F81BD" w:sz="8" w:space="0"/>
            </w:tcBorders>
            <w:shd w:val="clear" w:color="auto" w:fill="4F81BD"/>
            <w:vAlign w:val="center"/>
          </w:tcPr>
          <w:p>
            <w:pPr>
              <w:jc w:val="center"/>
              <w:rPr>
                <w:b/>
                <w:color w:val="FFFFFF"/>
              </w:rPr>
            </w:pPr>
            <w:r>
              <w:rPr>
                <w:b/>
                <w:color w:val="FFFFFF"/>
              </w:rPr>
              <w:t>检查项</w:t>
            </w:r>
          </w:p>
        </w:tc>
        <w:tc>
          <w:tcPr>
            <w:tcW w:w="6279" w:type="dxa"/>
            <w:tcBorders>
              <w:top w:val="single" w:color="4F81BD" w:sz="8" w:space="0"/>
              <w:left w:val="single" w:color="4F81BD" w:sz="8" w:space="0"/>
              <w:bottom w:val="single" w:color="FFFFFF" w:sz="18" w:space="0"/>
              <w:right w:val="single" w:color="4F81BD" w:sz="8" w:space="0"/>
            </w:tcBorders>
            <w:shd w:val="clear" w:color="auto" w:fill="4F81BD"/>
          </w:tcPr>
          <w:p>
            <w:pPr>
              <w:jc w:val="center"/>
              <w:rPr>
                <w:b/>
                <w:color w:val="FFFFFF"/>
              </w:rPr>
            </w:pPr>
            <w:r>
              <w:rPr>
                <w:rFonts w:hint="eastAsia"/>
                <w:b/>
                <w:color w:val="FFFFFF"/>
              </w:rPr>
              <w:t>评价</w:t>
            </w:r>
            <w:r>
              <w:rPr>
                <w:b/>
                <w:color w:val="FFFFFF"/>
              </w:rPr>
              <w:t>依据</w:t>
            </w:r>
          </w:p>
        </w:tc>
        <w:tc>
          <w:tcPr>
            <w:tcW w:w="867" w:type="dxa"/>
            <w:tcBorders>
              <w:top w:val="single" w:color="4F81BD" w:sz="8" w:space="0"/>
              <w:left w:val="single" w:color="4F81BD" w:sz="8" w:space="0"/>
              <w:bottom w:val="single" w:color="FFFFFF" w:sz="18" w:space="0"/>
              <w:right w:val="single" w:color="4F81BD" w:sz="8" w:space="0"/>
            </w:tcBorders>
            <w:shd w:val="clear" w:color="auto" w:fill="4F81BD"/>
            <w:vAlign w:val="center"/>
          </w:tcPr>
          <w:p>
            <w:pPr>
              <w:jc w:val="center"/>
              <w:rPr>
                <w:b/>
                <w:color w:val="FFFFFF"/>
              </w:rPr>
            </w:pPr>
            <w:r>
              <w:rPr>
                <w:b/>
                <w:color w:val="FFFFFF"/>
              </w:rPr>
              <w:t>结论</w:t>
            </w:r>
          </w:p>
        </w:tc>
        <w:tc>
          <w:tcPr>
            <w:tcW w:w="724" w:type="dxa"/>
            <w:tcBorders>
              <w:top w:val="single" w:color="4F81BD" w:sz="8" w:space="0"/>
              <w:left w:val="single" w:color="4F81BD" w:sz="8" w:space="0"/>
              <w:bottom w:val="single" w:color="FFFFFF" w:sz="18" w:space="0"/>
              <w:right w:val="single" w:color="4F81BD" w:sz="8" w:space="0"/>
            </w:tcBorders>
            <w:shd w:val="clear" w:color="auto" w:fill="4F81BD"/>
            <w:vAlign w:val="center"/>
          </w:tcPr>
          <w:p>
            <w:pPr>
              <w:jc w:val="center"/>
              <w:rPr>
                <w:b/>
                <w:color w:val="FFFFFF"/>
              </w:rPr>
            </w:pPr>
            <w:r>
              <w:rPr>
                <w:b/>
                <w:color w:val="FFFFFF"/>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93" w:type="dxa"/>
            <w:vMerge w:val="restart"/>
            <w:tcBorders>
              <w:top w:val="single" w:color="FFFFFF" w:sz="18" w:space="0"/>
              <w:left w:val="single" w:color="4F81BD" w:sz="8" w:space="0"/>
              <w:bottom w:val="single" w:color="4F81BD" w:sz="8" w:space="0"/>
              <w:right w:val="single" w:color="4F81BD" w:sz="8" w:space="0"/>
            </w:tcBorders>
            <w:shd w:val="clear" w:color="auto" w:fill="B8CCE4"/>
            <w:vAlign w:val="center"/>
          </w:tcPr>
          <w:p>
            <w:pPr>
              <w:jc w:val="center"/>
              <w:rPr>
                <w:b/>
                <w:color w:val="000000"/>
              </w:rPr>
            </w:pPr>
            <w:r>
              <w:rPr>
                <w:rFonts w:hint="eastAsia"/>
                <w:b/>
                <w:color w:val="000000"/>
              </w:rPr>
              <w:t>空气声隔声</w:t>
            </w:r>
          </w:p>
        </w:tc>
        <w:tc>
          <w:tcPr>
            <w:tcW w:w="6279" w:type="dxa"/>
            <w:tcBorders>
              <w:top w:val="single" w:color="FFFFFF" w:sz="18" w:space="0"/>
              <w:left w:val="single" w:color="4F81BD" w:sz="8" w:space="0"/>
              <w:bottom w:val="single" w:color="4F81BD" w:sz="8" w:space="0"/>
              <w:right w:val="single" w:color="4F81BD" w:sz="8" w:space="0"/>
            </w:tcBorders>
            <w:shd w:val="clear" w:color="auto" w:fill="B8CCE4"/>
          </w:tcPr>
          <w:p>
            <w:pPr>
              <w:pStyle w:val="13"/>
              <w:ind w:firstLine="0" w:firstLineChars="0"/>
              <w:rPr>
                <w:rFonts w:ascii="Times New Roman" w:hAnsi="Times New Roman" w:eastAsia="宋体"/>
                <w:b/>
                <w:color w:val="000000"/>
                <w:sz w:val="21"/>
                <w:szCs w:val="21"/>
              </w:rPr>
            </w:pPr>
            <w:r>
              <w:rPr>
                <w:rFonts w:hint="eastAsia" w:ascii="Times New Roman" w:hAnsi="Times New Roman" w:eastAsia="宋体"/>
                <w:b/>
                <w:color w:val="000000"/>
                <w:sz w:val="21"/>
                <w:szCs w:val="21"/>
              </w:rPr>
              <w:t>控制项</w:t>
            </w:r>
            <w:r>
              <w:rPr>
                <w:rFonts w:ascii="Times New Roman" w:hAnsi="Times New Roman" w:eastAsia="宋体"/>
                <w:b/>
                <w:color w:val="000000"/>
                <w:sz w:val="21"/>
                <w:szCs w:val="21"/>
              </w:rPr>
              <w:t>：</w:t>
            </w:r>
          </w:p>
          <w:p>
            <w:pPr>
              <w:pStyle w:val="13"/>
              <w:ind w:firstLine="0" w:firstLineChars="0"/>
              <w:rPr>
                <w:rFonts w:ascii="Times New Roman" w:hAnsi="Times New Roman" w:eastAsia="宋体"/>
                <w:color w:val="000000"/>
                <w:sz w:val="21"/>
                <w:szCs w:val="21"/>
              </w:rPr>
            </w:pPr>
            <w:r>
              <w:rPr>
                <w:rFonts w:ascii="Times New Roman" w:hAnsi="Times New Roman" w:eastAsia="宋体"/>
                <w:color w:val="000000"/>
                <w:sz w:val="21"/>
                <w:szCs w:val="21"/>
              </w:rPr>
              <w:t xml:space="preserve">5.1.4  </w:t>
            </w:r>
            <w:r>
              <w:rPr>
                <w:rFonts w:hint="eastAsia" w:ascii="Times New Roman" w:hAnsi="Times New Roman" w:eastAsia="宋体"/>
                <w:color w:val="000000"/>
                <w:sz w:val="21"/>
                <w:szCs w:val="21"/>
              </w:rPr>
              <w:t>主要功能房间的外墙、隔墙、楼板和门窗的隔声性能应能满足现行国家标准《民用建筑隔声设计规范》</w:t>
            </w:r>
            <w:r>
              <w:rPr>
                <w:rFonts w:ascii="Times New Roman" w:hAnsi="Times New Roman" w:eastAsia="宋体"/>
                <w:color w:val="000000"/>
                <w:sz w:val="21"/>
                <w:szCs w:val="21"/>
              </w:rPr>
              <w:t>GB 50118</w:t>
            </w:r>
            <w:r>
              <w:rPr>
                <w:rFonts w:hint="eastAsia" w:ascii="Times New Roman" w:hAnsi="Times New Roman" w:eastAsia="宋体"/>
                <w:color w:val="000000"/>
                <w:sz w:val="21"/>
                <w:szCs w:val="21"/>
              </w:rPr>
              <w:t>中低限要求。</w:t>
            </w:r>
          </w:p>
        </w:tc>
        <w:tc>
          <w:tcPr>
            <w:tcW w:w="867" w:type="dxa"/>
            <w:tcBorders>
              <w:top w:val="single" w:color="FFFFFF" w:sz="18" w:space="0"/>
              <w:left w:val="single" w:color="4F81BD" w:sz="8" w:space="0"/>
              <w:bottom w:val="single" w:color="4F81BD" w:sz="8" w:space="0"/>
              <w:right w:val="single" w:color="4F81BD" w:sz="8" w:space="0"/>
            </w:tcBorders>
            <w:shd w:val="clear" w:color="auto" w:fill="B8CCE4"/>
            <w:vAlign w:val="center"/>
          </w:tcPr>
          <w:p>
            <w:pPr>
              <w:jc w:val="center"/>
              <w:rPr>
                <w:rFonts w:ascii="宋体" w:hAnsi="宋体"/>
                <w:color w:val="000000"/>
                <w:kern w:val="2"/>
                <w:szCs w:val="21"/>
                <w:lang w:val="en-US"/>
              </w:rPr>
            </w:pPr>
            <w:bookmarkStart w:id="79" w:name="空气声控制项结论"/>
            <w:r>
              <w:rPr>
                <w:rFonts w:hint="eastAsia" w:ascii="宋体" w:hAnsi="宋体"/>
                <w:color w:val="000000"/>
                <w:kern w:val="2"/>
                <w:szCs w:val="21"/>
                <w:lang w:val="en-US"/>
              </w:rPr>
              <w:t>满足</w:t>
            </w:r>
            <w:bookmarkEnd w:id="79"/>
          </w:p>
        </w:tc>
        <w:tc>
          <w:tcPr>
            <w:tcW w:w="724" w:type="dxa"/>
            <w:tcBorders>
              <w:top w:val="single" w:color="FFFFFF" w:sz="18" w:space="0"/>
              <w:left w:val="single" w:color="4F81BD" w:sz="8" w:space="0"/>
              <w:bottom w:val="single" w:color="4F81BD" w:sz="8" w:space="0"/>
              <w:right w:val="single" w:color="4F81BD" w:sz="8" w:space="0"/>
            </w:tcBorders>
            <w:shd w:val="clear" w:color="auto" w:fill="B8CCE4"/>
            <w:vAlign w:val="center"/>
          </w:tcPr>
          <w:p>
            <w:pPr>
              <w:jc w:val="center"/>
              <w:rPr>
                <w:rFonts w:ascii="宋体" w:hAnsi="宋体"/>
                <w:color w:val="000000"/>
                <w:kern w:val="2"/>
                <w:szCs w:val="21"/>
                <w:lang w:val="en-US"/>
              </w:rPr>
            </w:pPr>
            <w:r>
              <w:rPr>
                <w:rFonts w:ascii="宋体" w:hAnsi="宋体"/>
                <w:color w:val="000000"/>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b/>
                <w:color w:val="000000"/>
              </w:rPr>
            </w:pPr>
          </w:p>
        </w:tc>
        <w:tc>
          <w:tcPr>
            <w:tcW w:w="6279" w:type="dxa"/>
            <w:tcBorders>
              <w:top w:val="single" w:color="4F81BD" w:sz="8" w:space="0"/>
              <w:left w:val="single" w:color="4F81BD" w:sz="8" w:space="0"/>
              <w:bottom w:val="single" w:color="4F81BD" w:sz="8" w:space="0"/>
              <w:right w:val="single" w:color="4F81BD" w:sz="8" w:space="0"/>
            </w:tcBorders>
            <w:shd w:val="clear" w:color="auto" w:fill="FFFFFF"/>
          </w:tcPr>
          <w:p>
            <w:pPr>
              <w:pStyle w:val="13"/>
              <w:ind w:firstLine="0" w:firstLineChars="0"/>
              <w:rPr>
                <w:rFonts w:ascii="Times New Roman" w:hAnsi="Times New Roman" w:eastAsia="宋体"/>
                <w:b/>
                <w:color w:val="000000"/>
                <w:sz w:val="21"/>
                <w:szCs w:val="21"/>
              </w:rPr>
            </w:pPr>
            <w:r>
              <w:rPr>
                <w:rFonts w:hint="eastAsia" w:ascii="Times New Roman" w:hAnsi="Times New Roman" w:eastAsia="宋体"/>
                <w:b/>
                <w:color w:val="000000"/>
                <w:sz w:val="21"/>
                <w:szCs w:val="21"/>
              </w:rPr>
              <w:t>评分项：</w:t>
            </w:r>
          </w:p>
          <w:p>
            <w:pPr>
              <w:pStyle w:val="13"/>
              <w:ind w:firstLine="0" w:firstLineChars="0"/>
              <w:rPr>
                <w:rFonts w:ascii="Times New Roman" w:hAnsi="Times New Roman" w:eastAsia="宋体"/>
                <w:color w:val="000000"/>
                <w:sz w:val="21"/>
                <w:szCs w:val="21"/>
              </w:rPr>
            </w:pPr>
            <w:r>
              <w:rPr>
                <w:rFonts w:ascii="Times New Roman" w:hAnsi="Times New Roman" w:eastAsia="宋体"/>
                <w:color w:val="000000"/>
                <w:sz w:val="21"/>
                <w:szCs w:val="21"/>
              </w:rPr>
              <w:t xml:space="preserve">5.2.7  </w:t>
            </w:r>
            <w:r>
              <w:rPr>
                <w:rFonts w:hint="eastAsia" w:ascii="Times New Roman" w:hAnsi="Times New Roman" w:eastAsia="宋体"/>
                <w:color w:val="000000"/>
                <w:sz w:val="21"/>
                <w:szCs w:val="21"/>
              </w:rPr>
              <w:t>构件及相邻房间之间的空气声隔声性能达到现行国家标准《民用建筑隔声设计规范》</w:t>
            </w:r>
            <w:r>
              <w:rPr>
                <w:rFonts w:ascii="Times New Roman" w:hAnsi="Times New Roman" w:eastAsia="宋体"/>
                <w:color w:val="000000"/>
                <w:sz w:val="21"/>
                <w:szCs w:val="21"/>
              </w:rPr>
              <w:t>GB 50118</w:t>
            </w:r>
            <w:r>
              <w:rPr>
                <w:rFonts w:hint="eastAsia" w:ascii="Times New Roman" w:hAnsi="Times New Roman" w:eastAsia="宋体"/>
                <w:color w:val="000000"/>
                <w:sz w:val="21"/>
                <w:szCs w:val="21"/>
              </w:rPr>
              <w:t>中的低限标准限值和高要求标准限值的平均值，得3分；达到高要求标准限值，得5分。</w:t>
            </w:r>
          </w:p>
        </w:tc>
        <w:tc>
          <w:tcPr>
            <w:tcW w:w="8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ascii="宋体" w:hAnsi="宋体"/>
                <w:color w:val="000000"/>
                <w:kern w:val="2"/>
                <w:szCs w:val="21"/>
                <w:lang w:val="en-US"/>
              </w:rPr>
            </w:pPr>
            <w:bookmarkStart w:id="80" w:name="空气声评分项结论"/>
            <w:r>
              <w:rPr>
                <w:rFonts w:hint="eastAsia" w:ascii="宋体" w:hAnsi="宋体"/>
                <w:color w:val="000000"/>
                <w:kern w:val="2"/>
                <w:szCs w:val="21"/>
                <w:lang w:val="en-US"/>
              </w:rPr>
              <w:t>满足高要求</w:t>
            </w:r>
            <w:bookmarkEnd w:id="80"/>
          </w:p>
        </w:tc>
        <w:tc>
          <w:tcPr>
            <w:tcW w:w="724"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ascii="宋体" w:hAnsi="宋体"/>
                <w:color w:val="000000"/>
                <w:kern w:val="2"/>
                <w:szCs w:val="21"/>
                <w:lang w:val="en-US"/>
              </w:rPr>
            </w:pPr>
            <w:bookmarkStart w:id="81" w:name="空气声得分"/>
            <w:r>
              <w:rPr>
                <w:rFonts w:hint="eastAsia" w:ascii="宋体" w:hAnsi="宋体"/>
                <w:color w:val="000000"/>
                <w:kern w:val="2"/>
                <w:szCs w:val="21"/>
                <w:lang w:val="en-US"/>
              </w:rPr>
              <w:t>5</w:t>
            </w:r>
            <w:bookmarkEnd w:id="8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restart"/>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b/>
                <w:color w:val="000000"/>
              </w:rPr>
            </w:pPr>
            <w:r>
              <w:rPr>
                <w:rFonts w:hint="eastAsia"/>
                <w:b/>
                <w:color w:val="000000"/>
              </w:rPr>
              <w:t>撞击声隔声</w:t>
            </w:r>
          </w:p>
        </w:tc>
        <w:tc>
          <w:tcPr>
            <w:tcW w:w="6279" w:type="dxa"/>
            <w:tcBorders>
              <w:top w:val="single" w:color="4F81BD" w:sz="8" w:space="0"/>
              <w:left w:val="single" w:color="4F81BD" w:sz="8" w:space="0"/>
              <w:bottom w:val="single" w:color="4F81BD" w:sz="8" w:space="0"/>
              <w:right w:val="single" w:color="4F81BD" w:sz="8" w:space="0"/>
            </w:tcBorders>
            <w:shd w:val="clear" w:color="auto" w:fill="B8CCE4"/>
          </w:tcPr>
          <w:p>
            <w:pPr>
              <w:pStyle w:val="13"/>
              <w:ind w:firstLine="0" w:firstLineChars="0"/>
              <w:rPr>
                <w:rFonts w:ascii="Times New Roman" w:hAnsi="Times New Roman" w:eastAsia="宋体"/>
                <w:b/>
                <w:color w:val="000000"/>
                <w:sz w:val="21"/>
                <w:szCs w:val="21"/>
              </w:rPr>
            </w:pPr>
            <w:r>
              <w:rPr>
                <w:rFonts w:hint="eastAsia" w:ascii="Times New Roman" w:hAnsi="Times New Roman" w:eastAsia="宋体"/>
                <w:b/>
                <w:color w:val="000000"/>
                <w:sz w:val="21"/>
                <w:szCs w:val="21"/>
              </w:rPr>
              <w:t>控制项</w:t>
            </w:r>
            <w:r>
              <w:rPr>
                <w:rFonts w:ascii="Times New Roman" w:hAnsi="Times New Roman" w:eastAsia="宋体"/>
                <w:b/>
                <w:color w:val="000000"/>
                <w:sz w:val="21"/>
                <w:szCs w:val="21"/>
              </w:rPr>
              <w:t>：</w:t>
            </w:r>
          </w:p>
          <w:p>
            <w:pPr>
              <w:pStyle w:val="13"/>
              <w:ind w:firstLine="0" w:firstLineChars="0"/>
              <w:rPr>
                <w:rFonts w:ascii="Times New Roman" w:hAnsi="Times New Roman" w:eastAsia="宋体"/>
                <w:b/>
                <w:color w:val="000000"/>
                <w:sz w:val="21"/>
                <w:szCs w:val="21"/>
              </w:rPr>
            </w:pPr>
            <w:r>
              <w:rPr>
                <w:rFonts w:ascii="Times New Roman" w:hAnsi="Times New Roman" w:eastAsia="宋体"/>
                <w:color w:val="000000"/>
                <w:sz w:val="21"/>
                <w:szCs w:val="21"/>
              </w:rPr>
              <w:t xml:space="preserve">5.1.4  </w:t>
            </w:r>
            <w:r>
              <w:rPr>
                <w:rFonts w:hint="eastAsia" w:ascii="Times New Roman" w:hAnsi="Times New Roman" w:eastAsia="宋体"/>
                <w:color w:val="000000"/>
                <w:sz w:val="21"/>
                <w:szCs w:val="21"/>
              </w:rPr>
              <w:t>主要功能房间的外墙、隔墙、楼板和门窗的隔声性能应能满足现行国家标准《民用建筑隔声设计规范》</w:t>
            </w:r>
            <w:r>
              <w:rPr>
                <w:rFonts w:ascii="Times New Roman" w:hAnsi="Times New Roman" w:eastAsia="宋体"/>
                <w:color w:val="000000"/>
                <w:sz w:val="21"/>
                <w:szCs w:val="21"/>
              </w:rPr>
              <w:t>GB 50118</w:t>
            </w:r>
            <w:r>
              <w:rPr>
                <w:rFonts w:hint="eastAsia" w:ascii="Times New Roman" w:hAnsi="Times New Roman" w:eastAsia="宋体"/>
                <w:color w:val="000000"/>
                <w:sz w:val="21"/>
                <w:szCs w:val="21"/>
              </w:rPr>
              <w:t>中低限要求。</w:t>
            </w:r>
          </w:p>
        </w:tc>
        <w:tc>
          <w:tcPr>
            <w:tcW w:w="867"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ascii="宋体" w:hAnsi="宋体"/>
                <w:color w:val="000000"/>
                <w:kern w:val="2"/>
                <w:szCs w:val="21"/>
                <w:lang w:val="en-US"/>
              </w:rPr>
            </w:pPr>
            <w:bookmarkStart w:id="82" w:name="撞击声控制项结论"/>
            <w:r>
              <w:rPr>
                <w:rFonts w:hint="eastAsia" w:ascii="宋体" w:hAnsi="宋体"/>
                <w:color w:val="000000"/>
                <w:kern w:val="2"/>
                <w:szCs w:val="21"/>
                <w:lang w:val="en-US"/>
              </w:rPr>
              <w:t>满足</w:t>
            </w:r>
            <w:bookmarkEnd w:id="82"/>
          </w:p>
        </w:tc>
        <w:tc>
          <w:tcPr>
            <w:tcW w:w="724"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ascii="宋体" w:hAnsi="宋体"/>
                <w:color w:val="000000"/>
                <w:kern w:val="2"/>
                <w:szCs w:val="21"/>
                <w:lang w:val="en-US"/>
              </w:rPr>
            </w:pPr>
            <w:r>
              <w:rPr>
                <w:rFonts w:hint="eastAsia" w:ascii="宋体" w:hAnsi="宋体"/>
                <w:color w:val="000000"/>
                <w:kern w:val="2"/>
                <w:szCs w:val="21"/>
                <w:lang w:val="en-US"/>
              </w:rPr>
              <w:t>-</w:t>
            </w:r>
            <w:r>
              <w:rPr>
                <w:rFonts w:ascii="宋体" w:hAnsi="宋体"/>
                <w:color w:val="000000"/>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color w:val="000000"/>
              </w:rPr>
            </w:pPr>
          </w:p>
        </w:tc>
        <w:tc>
          <w:tcPr>
            <w:tcW w:w="6279" w:type="dxa"/>
            <w:tcBorders>
              <w:top w:val="single" w:color="4F81BD" w:sz="8" w:space="0"/>
              <w:left w:val="single" w:color="4F81BD" w:sz="8" w:space="0"/>
              <w:bottom w:val="single" w:color="4F81BD" w:sz="8" w:space="0"/>
              <w:right w:val="single" w:color="4F81BD" w:sz="8" w:space="0"/>
            </w:tcBorders>
            <w:shd w:val="clear" w:color="auto" w:fill="FFFFFF"/>
          </w:tcPr>
          <w:p>
            <w:pPr>
              <w:pStyle w:val="13"/>
              <w:ind w:firstLine="0" w:firstLineChars="0"/>
              <w:rPr>
                <w:rFonts w:ascii="Times New Roman" w:hAnsi="Times New Roman" w:eastAsia="宋体"/>
                <w:b/>
                <w:color w:val="000000"/>
                <w:sz w:val="21"/>
                <w:szCs w:val="21"/>
              </w:rPr>
            </w:pPr>
            <w:r>
              <w:rPr>
                <w:rFonts w:hint="eastAsia" w:ascii="Times New Roman" w:hAnsi="Times New Roman" w:eastAsia="宋体"/>
                <w:b/>
                <w:color w:val="000000"/>
                <w:sz w:val="21"/>
                <w:szCs w:val="21"/>
              </w:rPr>
              <w:t>评分项：</w:t>
            </w:r>
          </w:p>
          <w:p>
            <w:pPr>
              <w:pStyle w:val="13"/>
              <w:ind w:firstLine="0" w:firstLineChars="0"/>
              <w:rPr>
                <w:rFonts w:ascii="Times New Roman" w:hAnsi="Times New Roman" w:eastAsia="宋体"/>
                <w:b/>
                <w:color w:val="000000"/>
                <w:sz w:val="21"/>
                <w:szCs w:val="21"/>
              </w:rPr>
            </w:pPr>
            <w:r>
              <w:rPr>
                <w:rFonts w:ascii="Times New Roman" w:hAnsi="Times New Roman" w:eastAsia="宋体"/>
                <w:color w:val="000000"/>
                <w:sz w:val="21"/>
                <w:szCs w:val="21"/>
              </w:rPr>
              <w:t xml:space="preserve">5.2.7  </w:t>
            </w:r>
            <w:r>
              <w:rPr>
                <w:rFonts w:hint="eastAsia" w:ascii="Times New Roman" w:hAnsi="Times New Roman" w:eastAsia="宋体"/>
                <w:color w:val="000000"/>
                <w:sz w:val="21"/>
                <w:szCs w:val="21"/>
              </w:rPr>
              <w:t>楼板的撞击声隔声性能达到现行国家标准《民用建筑隔声设计规范》</w:t>
            </w:r>
            <w:r>
              <w:rPr>
                <w:rFonts w:ascii="Times New Roman" w:hAnsi="Times New Roman" w:eastAsia="宋体"/>
                <w:color w:val="000000"/>
                <w:sz w:val="21"/>
                <w:szCs w:val="21"/>
              </w:rPr>
              <w:t>GB 50118</w:t>
            </w:r>
            <w:r>
              <w:rPr>
                <w:rFonts w:hint="eastAsia" w:ascii="Times New Roman" w:hAnsi="Times New Roman" w:eastAsia="宋体"/>
                <w:color w:val="000000"/>
                <w:sz w:val="21"/>
                <w:szCs w:val="21"/>
              </w:rPr>
              <w:t>中的低限标准限值和高要求标准限值的平均值，得3分；达到高要求标准限值，得</w:t>
            </w:r>
            <w:r>
              <w:rPr>
                <w:rFonts w:ascii="Times New Roman" w:hAnsi="Times New Roman" w:eastAsia="宋体"/>
                <w:color w:val="000000"/>
                <w:sz w:val="21"/>
                <w:szCs w:val="21"/>
              </w:rPr>
              <w:t>5</w:t>
            </w:r>
            <w:r>
              <w:rPr>
                <w:rFonts w:hint="eastAsia" w:ascii="Times New Roman" w:hAnsi="Times New Roman" w:eastAsia="宋体"/>
                <w:color w:val="000000"/>
                <w:sz w:val="21"/>
                <w:szCs w:val="21"/>
              </w:rPr>
              <w:t>分。</w:t>
            </w:r>
          </w:p>
        </w:tc>
        <w:tc>
          <w:tcPr>
            <w:tcW w:w="867"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ascii="宋体" w:hAnsi="宋体"/>
                <w:color w:val="000000"/>
                <w:kern w:val="2"/>
                <w:szCs w:val="21"/>
                <w:lang w:val="en-US"/>
              </w:rPr>
            </w:pPr>
            <w:bookmarkStart w:id="83" w:name="撞击声评分项结论"/>
            <w:r>
              <w:rPr>
                <w:rFonts w:hint="eastAsia" w:ascii="宋体" w:hAnsi="宋体"/>
                <w:color w:val="000000"/>
                <w:kern w:val="2"/>
                <w:szCs w:val="21"/>
                <w:lang w:val="en-US"/>
              </w:rPr>
              <w:t>满足高要求</w:t>
            </w:r>
            <w:bookmarkEnd w:id="83"/>
          </w:p>
        </w:tc>
        <w:tc>
          <w:tcPr>
            <w:tcW w:w="724"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ascii="宋体" w:hAnsi="宋体"/>
                <w:color w:val="000000"/>
                <w:kern w:val="2"/>
                <w:szCs w:val="21"/>
                <w:lang w:val="en-US"/>
              </w:rPr>
            </w:pPr>
            <w:bookmarkStart w:id="84" w:name="撞击声得分"/>
            <w:r>
              <w:rPr>
                <w:rFonts w:hint="eastAsia" w:ascii="宋体" w:hAnsi="宋体"/>
                <w:color w:val="000000"/>
                <w:kern w:val="2"/>
                <w:szCs w:val="21"/>
                <w:lang w:val="en-US"/>
              </w:rPr>
              <w:t>5</w:t>
            </w:r>
            <w:bookmarkEnd w:id="84"/>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5627C"/>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 w:val="0C656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0"/>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宋体" w:cs="Arial"/>
      <w:b/>
      <w:bCs/>
      <w:iCs/>
      <w:color w:val="000000"/>
      <w:sz w:val="24"/>
      <w:szCs w:val="24"/>
    </w:rPr>
  </w:style>
  <w:style w:type="character" w:customStyle="1" w:styleId="31">
    <w:name w:val="标题 1 字符"/>
    <w:link w:val="2"/>
    <w:uiPriority w:val="9"/>
    <w:rPr>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oleObject" Target="embeddings/oleObject24.bin"/><Relationship Id="rId58" Type="http://schemas.openxmlformats.org/officeDocument/2006/relationships/oleObject" Target="embeddings/oleObject23.bin"/><Relationship Id="rId57" Type="http://schemas.openxmlformats.org/officeDocument/2006/relationships/oleObject" Target="embeddings/oleObject22.bin"/><Relationship Id="rId56" Type="http://schemas.openxmlformats.org/officeDocument/2006/relationships/image" Target="media/image28.wmf"/><Relationship Id="rId55" Type="http://schemas.openxmlformats.org/officeDocument/2006/relationships/oleObject" Target="embeddings/oleObject21.bin"/><Relationship Id="rId54" Type="http://schemas.openxmlformats.org/officeDocument/2006/relationships/oleObject" Target="embeddings/oleObject20.bin"/><Relationship Id="rId53" Type="http://schemas.openxmlformats.org/officeDocument/2006/relationships/image" Target="media/image27.wmf"/><Relationship Id="rId52" Type="http://schemas.openxmlformats.org/officeDocument/2006/relationships/oleObject" Target="embeddings/oleObject19.bin"/><Relationship Id="rId51" Type="http://schemas.openxmlformats.org/officeDocument/2006/relationships/oleObject" Target="embeddings/oleObject18.bin"/><Relationship Id="rId50" Type="http://schemas.openxmlformats.org/officeDocument/2006/relationships/image" Target="media/image26.png"/><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7.bin"/><Relationship Id="rId47" Type="http://schemas.openxmlformats.org/officeDocument/2006/relationships/image" Target="media/image24.wmf"/><Relationship Id="rId46" Type="http://schemas.openxmlformats.org/officeDocument/2006/relationships/oleObject" Target="embeddings/oleObject16.bin"/><Relationship Id="rId45" Type="http://schemas.openxmlformats.org/officeDocument/2006/relationships/image" Target="media/image23.wmf"/><Relationship Id="rId44" Type="http://schemas.openxmlformats.org/officeDocument/2006/relationships/oleObject" Target="embeddings/oleObject15.bin"/><Relationship Id="rId43" Type="http://schemas.openxmlformats.org/officeDocument/2006/relationships/image" Target="media/image22.wmf"/><Relationship Id="rId42" Type="http://schemas.openxmlformats.org/officeDocument/2006/relationships/oleObject" Target="embeddings/oleObject14.bin"/><Relationship Id="rId41" Type="http://schemas.openxmlformats.org/officeDocument/2006/relationships/image" Target="media/image21.wmf"/><Relationship Id="rId40" Type="http://schemas.openxmlformats.org/officeDocument/2006/relationships/oleObject" Target="embeddings/oleObject13.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2.bin"/><Relationship Id="rId37" Type="http://schemas.openxmlformats.org/officeDocument/2006/relationships/image" Target="media/image19.wmf"/><Relationship Id="rId36" Type="http://schemas.openxmlformats.org/officeDocument/2006/relationships/oleObject" Target="embeddings/oleObject11.bin"/><Relationship Id="rId35" Type="http://schemas.openxmlformats.org/officeDocument/2006/relationships/image" Target="media/image18.wmf"/><Relationship Id="rId34" Type="http://schemas.openxmlformats.org/officeDocument/2006/relationships/oleObject" Target="embeddings/oleObject10.bin"/><Relationship Id="rId33" Type="http://schemas.openxmlformats.org/officeDocument/2006/relationships/image" Target="media/image17.emf"/><Relationship Id="rId32" Type="http://schemas.openxmlformats.org/officeDocument/2006/relationships/oleObject" Target="embeddings/Microsoft_Visio_2003-2010___2.vsd"/><Relationship Id="rId31" Type="http://schemas.openxmlformats.org/officeDocument/2006/relationships/image" Target="media/image16.emf"/><Relationship Id="rId30" Type="http://schemas.openxmlformats.org/officeDocument/2006/relationships/oleObject" Target="embeddings/Microsoft_Visio_2003-2010___1.vsd"/><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io\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tmp25.dotx</Template>
  <Pages>18</Pages>
  <Words>7920</Words>
  <Characters>9941</Characters>
  <Lines>61</Lines>
  <Paragraphs>17</Paragraphs>
  <TotalTime>29</TotalTime>
  <ScaleCrop>false</ScaleCrop>
  <LinksUpToDate>false</LinksUpToDate>
  <CharactersWithSpaces>10959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2022-01-17T12:35:00Z</dcterms:created>
  <dc:creator>辛鲜萝卜皮</dc:creator>
  <cp:lastModifiedBy>辛鲜萝卜皮</cp:lastModifiedBy>
  <dcterms:modified xsi:type="dcterms:W3CDTF">2022-01-17T13:05:25Z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97FB1D14D57A4667B2AF6898BD3873F1</vt:lpwstr>
  </property>
  <property fmtid="{D5CDD505-2E9C-101B-9397-08002B2CF9AE}" pid="3" name="KSOProductBuildVer">
    <vt:lpwstr>2052-11.1.0.11294</vt:lpwstr>
  </property>
</Properties>
</file>