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bookmarkEnd w:id="0"/>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hint="default" w:ascii="宋体" w:hAnsi="宋体" w:eastAsia="宋体"/>
                <w:szCs w:val="21"/>
                <w:lang w:val="en-US" w:eastAsia="zh-CN"/>
              </w:rPr>
            </w:pPr>
            <w:bookmarkStart w:id="1" w:name="项目名称"/>
            <w:bookmarkEnd w:id="1"/>
            <w:r>
              <w:rPr>
                <w:rFonts w:hint="eastAsia" w:ascii="宋体" w:hAnsi="宋体"/>
                <w:szCs w:val="21"/>
                <w:lang w:val="en-US" w:eastAsia="zh-CN"/>
              </w:rPr>
              <w:t>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hint="default" w:ascii="宋体" w:hAnsi="宋体" w:eastAsia="宋体"/>
                <w:szCs w:val="21"/>
                <w:lang w:val="en-US" w:eastAsia="zh-CN"/>
              </w:rPr>
            </w:pPr>
            <w:r>
              <w:rPr>
                <w:rFonts w:hint="eastAsia"/>
                <w:lang w:val="en-US" w:eastAsia="zh-CN"/>
              </w:rPr>
              <w:t>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hint="default" w:ascii="宋体" w:hAnsi="宋体" w:eastAsia="宋体"/>
                <w:szCs w:val="21"/>
                <w:lang w:val="en-US" w:eastAsia="zh-CN"/>
              </w:rPr>
            </w:pPr>
            <w:bookmarkStart w:id="2" w:name="设计编号"/>
            <w:bookmarkEnd w:id="2"/>
            <w:r>
              <w:rPr>
                <w:rFonts w:hint="eastAsia" w:ascii="宋体" w:hAnsi="宋体"/>
                <w:szCs w:val="21"/>
                <w:lang w:val="en-US" w:eastAsia="zh-CN"/>
              </w:rPr>
              <w:t>GZ40057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hint="default" w:ascii="宋体" w:hAnsi="宋体" w:eastAsia="宋体"/>
                <w:szCs w:val="21"/>
                <w:lang w:val="en-US" w:eastAsia="zh-CN"/>
              </w:rPr>
            </w:pPr>
            <w:bookmarkStart w:id="3" w:name="建设单位"/>
            <w:bookmarkEnd w:id="3"/>
            <w:r>
              <w:rPr>
                <w:rFonts w:hint="eastAsia" w:ascii="宋体" w:hAnsi="宋体"/>
                <w:szCs w:val="21"/>
                <w:lang w:val="en-US" w:eastAsia="zh-CN"/>
              </w:rPr>
              <w:t>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hint="default" w:ascii="宋体" w:hAnsi="宋体" w:eastAsia="宋体"/>
                <w:szCs w:val="21"/>
                <w:lang w:val="en-US" w:eastAsia="zh-CN"/>
              </w:rPr>
            </w:pPr>
            <w:bookmarkStart w:id="4" w:name="设计单位"/>
            <w:bookmarkEnd w:id="4"/>
            <w:r>
              <w:rPr>
                <w:rFonts w:hint="eastAsia" w:ascii="宋体" w:hAnsi="宋体"/>
                <w:szCs w:val="21"/>
                <w:lang w:val="en-US" w:eastAsia="zh-CN"/>
              </w:rPr>
              <w:t>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hint="default" w:ascii="宋体" w:hAnsi="宋体" w:eastAsia="宋体"/>
                <w:szCs w:val="21"/>
                <w:lang w:val="en-US" w:eastAsia="zh-CN"/>
              </w:rPr>
            </w:pPr>
            <w:r>
              <w:rPr>
                <w:rFonts w:hint="eastAsia" w:ascii="宋体" w:hAnsi="宋体"/>
                <w:szCs w:val="21"/>
                <w:lang w:val="en-US" w:eastAsia="zh-CN"/>
              </w:rPr>
              <w:t>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hint="default" w:ascii="宋体" w:hAnsi="宋体" w:eastAsia="宋体"/>
                <w:szCs w:val="21"/>
                <w:lang w:val="en-US" w:eastAsia="zh-CN"/>
              </w:rPr>
            </w:pPr>
            <w:r>
              <w:rPr>
                <w:rFonts w:hint="eastAsia" w:ascii="宋体" w:hAnsi="宋体"/>
                <w:szCs w:val="21"/>
                <w:lang w:val="en-US" w:eastAsia="zh-CN"/>
              </w:rPr>
              <w:t>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hint="default" w:ascii="宋体" w:hAnsi="宋体" w:eastAsia="宋体"/>
                <w:szCs w:val="21"/>
                <w:lang w:val="en-US" w:eastAsia="zh-CN"/>
              </w:rPr>
            </w:pPr>
            <w:r>
              <w:rPr>
                <w:rFonts w:hint="eastAsia" w:ascii="宋体" w:hAnsi="宋体"/>
                <w:szCs w:val="21"/>
                <w:lang w:val="en-US" w:eastAsia="zh-CN"/>
              </w:rPr>
              <w:t>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hint="default" w:ascii="宋体" w:hAnsi="宋体" w:eastAsia="宋体"/>
                <w:szCs w:val="21"/>
                <w:lang w:val="en-US" w:eastAsia="zh-CN"/>
              </w:rPr>
            </w:pPr>
            <w:r>
              <w:rPr>
                <w:rFonts w:hint="eastAsia" w:ascii="宋体" w:hAnsi="宋体"/>
                <w:szCs w:val="21"/>
                <w:lang w:val="en-US" w:eastAsia="zh-CN"/>
              </w:rPr>
              <w:t>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5" w:name="报告日期"/>
            <w:r>
              <w:rPr>
                <w:rFonts w:hint="eastAsia" w:ascii="宋体" w:hAnsi="宋体"/>
                <w:szCs w:val="21"/>
                <w:lang w:val="en-US" w:eastAsia="zh-CN"/>
              </w:rPr>
              <w:t>XXXX</w:t>
            </w:r>
            <w:r>
              <w:rPr>
                <w:rFonts w:hint="eastAsia" w:ascii="宋体" w:hAnsi="宋体"/>
                <w:szCs w:val="21"/>
              </w:rPr>
              <w:t>年</w:t>
            </w:r>
            <w:r>
              <w:rPr>
                <w:rFonts w:hint="eastAsia" w:ascii="宋体" w:hAnsi="宋体"/>
                <w:szCs w:val="21"/>
                <w:lang w:val="en-US" w:eastAsia="zh-CN"/>
              </w:rPr>
              <w:t>XX</w:t>
            </w:r>
            <w:r>
              <w:rPr>
                <w:rFonts w:hint="eastAsia" w:ascii="宋体" w:hAnsi="宋体"/>
                <w:szCs w:val="21"/>
              </w:rPr>
              <w:t>月</w:t>
            </w:r>
            <w:r>
              <w:rPr>
                <w:rFonts w:hint="eastAsia" w:ascii="宋体" w:hAnsi="宋体"/>
                <w:szCs w:val="21"/>
                <w:lang w:val="en-US" w:eastAsia="zh-CN"/>
              </w:rPr>
              <w:t>XX</w:t>
            </w:r>
            <w:r>
              <w:rPr>
                <w:rFonts w:hint="eastAsia" w:ascii="宋体" w:hAnsi="宋体"/>
                <w:szCs w:val="21"/>
              </w:rPr>
              <w:t>日</w:t>
            </w:r>
            <w:bookmarkEnd w:id="5"/>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6" w:name="二维码"/>
      <w:bookmarkEnd w:id="6"/>
      <w:r>
        <w:drawing>
          <wp:inline distT="0" distB="0" distL="0" distR="0">
            <wp:extent cx="1514475" cy="15144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绿建斯维尔建筑通风计算软件Vent20</w:t>
            </w:r>
            <w:r>
              <w:rPr>
                <w:rFonts w:ascii="宋体" w:hAnsi="宋体"/>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rPr>
          <w:rFonts w:asciiTheme="minorHAnsi" w:hAnsiTheme="minorHAnsi" w:eastAsiaTheme="minorEastAsia" w:cstheme="minorBid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"_Toc92059191" </w:instrText>
      </w:r>
      <w:r>
        <w:fldChar w:fldCharType="separate"/>
      </w:r>
      <w:r>
        <w:rPr>
          <w:rStyle w:val="26"/>
        </w:rPr>
        <w:t>1</w:t>
      </w:r>
      <w:r>
        <w:rPr>
          <w:rFonts w:asciiTheme="minorHAnsi" w:hAnsiTheme="minorHAnsi" w:eastAsiaTheme="minorEastAsia" w:cstheme="minorBidi"/>
          <w:b w:val="0"/>
          <w:bCs w:val="0"/>
          <w:szCs w:val="22"/>
        </w:rPr>
        <w:tab/>
      </w:r>
      <w:r>
        <w:rPr>
          <w:rStyle w:val="26"/>
        </w:rPr>
        <w:t>项目概况</w:t>
      </w:r>
      <w:r>
        <w:tab/>
      </w:r>
      <w:r>
        <w:fldChar w:fldCharType="begin"/>
      </w:r>
      <w:r>
        <w:instrText xml:space="preserve"> PAGEREF _Toc92059191 \h </w:instrText>
      </w:r>
      <w:r>
        <w:fldChar w:fldCharType="separate"/>
      </w:r>
      <w:r>
        <w:t>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"_Toc92059192" </w:instrText>
      </w:r>
      <w:r>
        <w:fldChar w:fldCharType="separate"/>
      </w:r>
      <w:r>
        <w:rPr>
          <w:rStyle w:val="26"/>
          <w:lang w:val="en-GB"/>
        </w:rPr>
        <w:t>1.1</w:t>
      </w:r>
      <w:r>
        <w:rPr>
          <w:rFonts w:asciiTheme="minorHAnsi" w:hAnsiTheme="minorHAnsi" w:eastAsiaTheme="minorEastAsia" w:cstheme="minorBidi"/>
          <w:szCs w:val="22"/>
        </w:rPr>
        <w:tab/>
      </w:r>
      <w:r>
        <w:rPr>
          <w:rStyle w:val="26"/>
        </w:rPr>
        <w:t>总平面图</w:t>
      </w:r>
      <w:r>
        <w:tab/>
      </w:r>
      <w:r>
        <w:fldChar w:fldCharType="begin"/>
      </w:r>
      <w:r>
        <w:instrText xml:space="preserve"> PAGEREF _Toc92059192 \h </w:instrText>
      </w:r>
      <w:r>
        <w:fldChar w:fldCharType="separate"/>
      </w:r>
      <w:r>
        <w:t>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"_Toc92059193" </w:instrText>
      </w:r>
      <w:r>
        <w:fldChar w:fldCharType="separate"/>
      </w:r>
      <w:r>
        <w:rPr>
          <w:rStyle w:val="26"/>
          <w:lang w:val="en-GB"/>
        </w:rPr>
        <w:t>1.2</w:t>
      </w:r>
      <w:r>
        <w:rPr>
          <w:rFonts w:asciiTheme="minorHAnsi" w:hAnsiTheme="minorHAnsi" w:eastAsiaTheme="minorEastAsia" w:cstheme="minorBidi"/>
          <w:szCs w:val="22"/>
        </w:rPr>
        <w:tab/>
      </w:r>
      <w:r>
        <w:rPr>
          <w:rStyle w:val="26"/>
        </w:rPr>
        <w:t>三维视图</w:t>
      </w:r>
      <w:r>
        <w:tab/>
      </w:r>
      <w:r>
        <w:fldChar w:fldCharType="begin"/>
      </w:r>
      <w:r>
        <w:instrText xml:space="preserve"> PAGEREF _Toc92059193 \h </w:instrText>
      </w:r>
      <w:r>
        <w:fldChar w:fldCharType="separate"/>
      </w:r>
      <w:r>
        <w:t>5</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"_Toc92059194" </w:instrText>
      </w:r>
      <w:r>
        <w:fldChar w:fldCharType="separate"/>
      </w:r>
      <w:r>
        <w:rPr>
          <w:rStyle w:val="26"/>
        </w:rPr>
        <w:t>2</w:t>
      </w:r>
      <w:r>
        <w:rPr>
          <w:rFonts w:asciiTheme="minorHAnsi" w:hAnsiTheme="minorHAnsi" w:eastAsiaTheme="minorEastAsia" w:cstheme="minorBidi"/>
          <w:b w:val="0"/>
          <w:bCs w:val="0"/>
          <w:szCs w:val="22"/>
        </w:rPr>
        <w:tab/>
      </w:r>
      <w:r>
        <w:rPr>
          <w:rStyle w:val="26"/>
        </w:rPr>
        <w:t>计算依据</w:t>
      </w:r>
      <w:r>
        <w:tab/>
      </w:r>
      <w:r>
        <w:fldChar w:fldCharType="begin"/>
      </w:r>
      <w:r>
        <w:instrText xml:space="preserve"> PAGEREF _Toc92059194 \h </w:instrText>
      </w:r>
      <w:r>
        <w:fldChar w:fldCharType="separate"/>
      </w:r>
      <w:r>
        <w:t>6</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"_Toc92059195" </w:instrText>
      </w:r>
      <w:r>
        <w:fldChar w:fldCharType="separate"/>
      </w:r>
      <w:r>
        <w:rPr>
          <w:rStyle w:val="26"/>
        </w:rPr>
        <w:t>3</w:t>
      </w:r>
      <w:r>
        <w:rPr>
          <w:rFonts w:asciiTheme="minorHAnsi" w:hAnsiTheme="minorHAnsi" w:eastAsiaTheme="minorEastAsia" w:cstheme="minorBidi"/>
          <w:b w:val="0"/>
          <w:bCs w:val="0"/>
          <w:szCs w:val="22"/>
        </w:rPr>
        <w:tab/>
      </w:r>
      <w:r>
        <w:rPr>
          <w:rStyle w:val="26"/>
        </w:rPr>
        <w:t>参考标准</w:t>
      </w:r>
      <w:r>
        <w:tab/>
      </w:r>
      <w:r>
        <w:fldChar w:fldCharType="begin"/>
      </w:r>
      <w:r>
        <w:instrText xml:space="preserve"> PAGEREF _Toc92059195 \h </w:instrText>
      </w:r>
      <w:r>
        <w:fldChar w:fldCharType="separate"/>
      </w:r>
      <w:r>
        <w:t>6</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"_Toc92059196" </w:instrText>
      </w:r>
      <w:r>
        <w:fldChar w:fldCharType="separate"/>
      </w:r>
      <w:r>
        <w:rPr>
          <w:rStyle w:val="26"/>
        </w:rPr>
        <w:t>4</w:t>
      </w:r>
      <w:r>
        <w:rPr>
          <w:rFonts w:asciiTheme="minorHAnsi" w:hAnsiTheme="minorHAnsi" w:eastAsiaTheme="minorEastAsia" w:cstheme="minorBidi"/>
          <w:b w:val="0"/>
          <w:bCs w:val="0"/>
          <w:szCs w:val="22"/>
        </w:rPr>
        <w:tab/>
      </w:r>
      <w:r>
        <w:rPr>
          <w:rStyle w:val="26"/>
        </w:rPr>
        <w:t>计算原理</w:t>
      </w:r>
      <w:r>
        <w:tab/>
      </w:r>
      <w:r>
        <w:fldChar w:fldCharType="begin"/>
      </w:r>
      <w:r>
        <w:instrText xml:space="preserve"> PAGEREF _Toc92059196 \h </w:instrText>
      </w:r>
      <w:r>
        <w:fldChar w:fldCharType="separate"/>
      </w:r>
      <w:r>
        <w:t>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"_Toc92059197" </w:instrText>
      </w:r>
      <w:r>
        <w:fldChar w:fldCharType="separate"/>
      </w:r>
      <w:r>
        <w:rPr>
          <w:rStyle w:val="26"/>
          <w:lang w:val="en-GB"/>
        </w:rPr>
        <w:t>4.1</w:t>
      </w:r>
      <w:r>
        <w:rPr>
          <w:rFonts w:asciiTheme="minorHAnsi" w:hAnsiTheme="minorHAnsi" w:eastAsiaTheme="minorEastAsia" w:cstheme="minorBidi"/>
          <w:szCs w:val="22"/>
        </w:rPr>
        <w:tab/>
      </w:r>
      <w:r>
        <w:rPr>
          <w:rStyle w:val="26"/>
        </w:rPr>
        <w:t>风场计算域</w:t>
      </w:r>
      <w:r>
        <w:tab/>
      </w:r>
      <w:r>
        <w:fldChar w:fldCharType="begin"/>
      </w:r>
      <w:r>
        <w:instrText xml:space="preserve"> PAGEREF _Toc92059197 \h </w:instrText>
      </w:r>
      <w:r>
        <w:fldChar w:fldCharType="separate"/>
      </w:r>
      <w:r>
        <w:t>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"_Toc92059198" </w:instrText>
      </w:r>
      <w:r>
        <w:fldChar w:fldCharType="separate"/>
      </w:r>
      <w:r>
        <w:rPr>
          <w:rStyle w:val="26"/>
          <w:lang w:val="en-GB"/>
        </w:rPr>
        <w:t>4.1.1</w:t>
      </w:r>
      <w:r>
        <w:rPr>
          <w:rFonts w:asciiTheme="minorHAnsi" w:hAnsiTheme="minorHAnsi" w:eastAsiaTheme="minorEastAsia" w:cstheme="minorBidi"/>
          <w:szCs w:val="22"/>
        </w:rPr>
        <w:tab/>
      </w:r>
      <w:r>
        <w:rPr>
          <w:rStyle w:val="26"/>
        </w:rPr>
        <w:t>冬季工况风场计算域</w:t>
      </w:r>
      <w:r>
        <w:tab/>
      </w:r>
      <w:r>
        <w:fldChar w:fldCharType="begin"/>
      </w:r>
      <w:r>
        <w:instrText xml:space="preserve"> PAGEREF _Toc92059198 \h </w:instrText>
      </w:r>
      <w:r>
        <w:fldChar w:fldCharType="separate"/>
      </w:r>
      <w:r>
        <w:t>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"_Toc92059199" </w:instrText>
      </w:r>
      <w:r>
        <w:fldChar w:fldCharType="separate"/>
      </w:r>
      <w:r>
        <w:rPr>
          <w:rStyle w:val="26"/>
          <w:lang w:val="en-GB"/>
        </w:rPr>
        <w:t>4.1.2</w:t>
      </w:r>
      <w:r>
        <w:rPr>
          <w:rFonts w:asciiTheme="minorHAnsi" w:hAnsiTheme="minorHAnsi" w:eastAsiaTheme="minorEastAsia" w:cstheme="minorBidi"/>
          <w:szCs w:val="22"/>
        </w:rPr>
        <w:tab/>
      </w:r>
      <w:r>
        <w:rPr>
          <w:rStyle w:val="26"/>
        </w:rPr>
        <w:t>夏季工况风场计算域</w:t>
      </w:r>
      <w:r>
        <w:tab/>
      </w:r>
      <w:r>
        <w:fldChar w:fldCharType="begin"/>
      </w:r>
      <w:r>
        <w:instrText xml:space="preserve"> PAGEREF _Toc92059199 \h </w:instrText>
      </w:r>
      <w:r>
        <w:fldChar w:fldCharType="separate"/>
      </w:r>
      <w:r>
        <w:t>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"_Toc92059200" </w:instrText>
      </w:r>
      <w:r>
        <w:fldChar w:fldCharType="separate"/>
      </w:r>
      <w:r>
        <w:rPr>
          <w:rStyle w:val="26"/>
          <w:lang w:val="en-GB"/>
        </w:rPr>
        <w:t>4.1.3</w:t>
      </w:r>
      <w:r>
        <w:rPr>
          <w:rFonts w:asciiTheme="minorHAnsi" w:hAnsiTheme="minorHAnsi" w:eastAsiaTheme="minorEastAsia" w:cstheme="minorBidi"/>
          <w:szCs w:val="22"/>
        </w:rPr>
        <w:tab/>
      </w:r>
      <w:r>
        <w:rPr>
          <w:rStyle w:val="26"/>
        </w:rPr>
        <w:t>过渡季工况风场计算域</w:t>
      </w:r>
      <w:r>
        <w:tab/>
      </w:r>
      <w:r>
        <w:fldChar w:fldCharType="begin"/>
      </w:r>
      <w:r>
        <w:instrText xml:space="preserve"> PAGEREF _Toc92059200 \h </w:instrText>
      </w:r>
      <w:r>
        <w:fldChar w:fldCharType="separate"/>
      </w:r>
      <w:r>
        <w:t>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"_Toc92059201" </w:instrText>
      </w:r>
      <w:r>
        <w:fldChar w:fldCharType="separate"/>
      </w:r>
      <w:r>
        <w:rPr>
          <w:rStyle w:val="26"/>
          <w:lang w:val="en-GB"/>
        </w:rPr>
        <w:t>4.2</w:t>
      </w:r>
      <w:r>
        <w:rPr>
          <w:rFonts w:asciiTheme="minorHAnsi" w:hAnsiTheme="minorHAnsi" w:eastAsiaTheme="minorEastAsia" w:cstheme="minorBidi"/>
          <w:szCs w:val="22"/>
        </w:rPr>
        <w:tab/>
      </w:r>
      <w:r>
        <w:rPr>
          <w:rStyle w:val="26"/>
        </w:rPr>
        <w:t>网格划分</w:t>
      </w:r>
      <w:r>
        <w:tab/>
      </w:r>
      <w:r>
        <w:fldChar w:fldCharType="begin"/>
      </w:r>
      <w:r>
        <w:instrText xml:space="preserve"> PAGEREF _Toc92059201 \h </w:instrText>
      </w:r>
      <w:r>
        <w:fldChar w:fldCharType="separate"/>
      </w:r>
      <w:r>
        <w:t>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"_Toc92059202" </w:instrText>
      </w:r>
      <w:r>
        <w:fldChar w:fldCharType="separate"/>
      </w:r>
      <w:r>
        <w:rPr>
          <w:rStyle w:val="26"/>
          <w:lang w:val="en-GB"/>
        </w:rPr>
        <w:t>4.3</w:t>
      </w:r>
      <w:r>
        <w:rPr>
          <w:rFonts w:asciiTheme="minorHAnsi" w:hAnsiTheme="minorHAnsi" w:eastAsiaTheme="minorEastAsia" w:cstheme="minorBidi"/>
          <w:szCs w:val="22"/>
        </w:rPr>
        <w:tab/>
      </w:r>
      <w:r>
        <w:rPr>
          <w:rStyle w:val="26"/>
        </w:rPr>
        <w:t>边界条件</w:t>
      </w:r>
      <w:r>
        <w:tab/>
      </w:r>
      <w:r>
        <w:fldChar w:fldCharType="begin"/>
      </w:r>
      <w:r>
        <w:instrText xml:space="preserve"> PAGEREF _Toc92059202 \h </w:instrText>
      </w:r>
      <w:r>
        <w:fldChar w:fldCharType="separate"/>
      </w:r>
      <w:r>
        <w:t>10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"_Toc92059203" </w:instrText>
      </w:r>
      <w:r>
        <w:fldChar w:fldCharType="separate"/>
      </w:r>
      <w:r>
        <w:rPr>
          <w:rStyle w:val="26"/>
          <w:lang w:val="en-GB"/>
        </w:rPr>
        <w:t>4.3.1</w:t>
      </w:r>
      <w:r>
        <w:rPr>
          <w:rFonts w:asciiTheme="minorHAnsi" w:hAnsiTheme="minorHAnsi" w:eastAsiaTheme="minorEastAsia" w:cstheme="minorBidi"/>
          <w:szCs w:val="22"/>
        </w:rPr>
        <w:tab/>
      </w:r>
      <w:r>
        <w:rPr>
          <w:rStyle w:val="26"/>
        </w:rPr>
        <w:t>入口与出口边界条件</w:t>
      </w:r>
      <w:r>
        <w:tab/>
      </w:r>
      <w:r>
        <w:fldChar w:fldCharType="begin"/>
      </w:r>
      <w:r>
        <w:instrText xml:space="preserve"> PAGEREF _Toc92059203 \h </w:instrText>
      </w:r>
      <w:r>
        <w:fldChar w:fldCharType="separate"/>
      </w:r>
      <w:r>
        <w:t>10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"_Toc92059204" </w:instrText>
      </w:r>
      <w:r>
        <w:fldChar w:fldCharType="separate"/>
      </w:r>
      <w:r>
        <w:rPr>
          <w:rStyle w:val="26"/>
          <w:lang w:val="en-GB"/>
        </w:rPr>
        <w:t>4.3.2</w:t>
      </w:r>
      <w:r>
        <w:rPr>
          <w:rFonts w:asciiTheme="minorHAnsi" w:hAnsiTheme="minorHAnsi" w:eastAsiaTheme="minorEastAsia" w:cstheme="minorBidi"/>
          <w:szCs w:val="22"/>
        </w:rPr>
        <w:tab/>
      </w:r>
      <w:r>
        <w:rPr>
          <w:rStyle w:val="26"/>
        </w:rPr>
        <w:t>壁面边界条件</w:t>
      </w:r>
      <w:r>
        <w:tab/>
      </w:r>
      <w:r>
        <w:fldChar w:fldCharType="begin"/>
      </w:r>
      <w:r>
        <w:instrText xml:space="preserve"> PAGEREF _Toc92059204 \h </w:instrText>
      </w:r>
      <w:r>
        <w:fldChar w:fldCharType="separate"/>
      </w:r>
      <w:r>
        <w:t>11</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"_Toc92059205" </w:instrText>
      </w:r>
      <w:r>
        <w:fldChar w:fldCharType="separate"/>
      </w:r>
      <w:r>
        <w:rPr>
          <w:rStyle w:val="26"/>
          <w:lang w:val="en-GB"/>
        </w:rPr>
        <w:t>4.4</w:t>
      </w:r>
      <w:r>
        <w:rPr>
          <w:rFonts w:asciiTheme="minorHAnsi" w:hAnsiTheme="minorHAnsi" w:eastAsiaTheme="minorEastAsia" w:cstheme="minorBidi"/>
          <w:szCs w:val="22"/>
        </w:rPr>
        <w:tab/>
      </w:r>
      <w:r>
        <w:rPr>
          <w:rStyle w:val="26"/>
        </w:rPr>
        <w:t>湍流模型</w:t>
      </w:r>
      <w:r>
        <w:tab/>
      </w:r>
      <w:r>
        <w:fldChar w:fldCharType="begin"/>
      </w:r>
      <w:r>
        <w:instrText xml:space="preserve"> PAGEREF _Toc92059205 \h </w:instrText>
      </w:r>
      <w:r>
        <w:fldChar w:fldCharType="separate"/>
      </w:r>
      <w:r>
        <w:t>11</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"_Toc92059206" </w:instrText>
      </w:r>
      <w:r>
        <w:fldChar w:fldCharType="separate"/>
      </w:r>
      <w:r>
        <w:rPr>
          <w:rStyle w:val="26"/>
          <w:lang w:val="en-GB"/>
        </w:rPr>
        <w:t>4.5</w:t>
      </w:r>
      <w:r>
        <w:rPr>
          <w:rFonts w:asciiTheme="minorHAnsi" w:hAnsiTheme="minorHAnsi" w:eastAsiaTheme="minorEastAsia" w:cstheme="minorBidi"/>
          <w:szCs w:val="22"/>
        </w:rPr>
        <w:tab/>
      </w:r>
      <w:r>
        <w:rPr>
          <w:rStyle w:val="26"/>
        </w:rPr>
        <w:t>求解计算</w:t>
      </w:r>
      <w:r>
        <w:tab/>
      </w:r>
      <w:r>
        <w:fldChar w:fldCharType="begin"/>
      </w:r>
      <w:r>
        <w:instrText xml:space="preserve"> PAGEREF _Toc92059206 \h </w:instrText>
      </w:r>
      <w:r>
        <w:fldChar w:fldCharType="separate"/>
      </w:r>
      <w:r>
        <w:t>11</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"_Toc92059207" </w:instrText>
      </w:r>
      <w:r>
        <w:fldChar w:fldCharType="separate"/>
      </w:r>
      <w:r>
        <w:rPr>
          <w:rStyle w:val="26"/>
          <w:lang w:val="en-GB"/>
        </w:rPr>
        <w:t>4.6</w:t>
      </w:r>
      <w:r>
        <w:rPr>
          <w:rFonts w:asciiTheme="minorHAnsi" w:hAnsiTheme="minorHAnsi" w:eastAsiaTheme="minorEastAsia" w:cstheme="minorBidi"/>
          <w:szCs w:val="22"/>
        </w:rPr>
        <w:tab/>
      </w:r>
      <w:r>
        <w:rPr>
          <w:rStyle w:val="26"/>
        </w:rPr>
        <w:t>风速放大系数计算</w:t>
      </w:r>
      <w:r>
        <w:tab/>
      </w:r>
      <w:r>
        <w:fldChar w:fldCharType="begin"/>
      </w:r>
      <w:r>
        <w:instrText xml:space="preserve"> PAGEREF _Toc92059207 \h </w:instrText>
      </w:r>
      <w:r>
        <w:fldChar w:fldCharType="separate"/>
      </w:r>
      <w:r>
        <w:t>13</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"_Toc92059208" </w:instrText>
      </w:r>
      <w:r>
        <w:fldChar w:fldCharType="separate"/>
      </w:r>
      <w:r>
        <w:rPr>
          <w:rStyle w:val="26"/>
        </w:rPr>
        <w:t>5</w:t>
      </w:r>
      <w:r>
        <w:rPr>
          <w:rFonts w:asciiTheme="minorHAnsi" w:hAnsiTheme="minorHAnsi" w:eastAsiaTheme="minorEastAsia" w:cstheme="minorBidi"/>
          <w:b w:val="0"/>
          <w:bCs w:val="0"/>
          <w:szCs w:val="22"/>
        </w:rPr>
        <w:tab/>
      </w:r>
      <w:r>
        <w:rPr>
          <w:rStyle w:val="26"/>
        </w:rPr>
        <w:t>结果分析</w:t>
      </w:r>
      <w:r>
        <w:tab/>
      </w:r>
      <w:r>
        <w:fldChar w:fldCharType="begin"/>
      </w:r>
      <w:r>
        <w:instrText xml:space="preserve"> PAGEREF _Toc92059208 \h </w:instrText>
      </w:r>
      <w:r>
        <w:fldChar w:fldCharType="separate"/>
      </w:r>
      <w:r>
        <w:t>14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"_Toc92059209" </w:instrText>
      </w:r>
      <w:r>
        <w:fldChar w:fldCharType="separate"/>
      </w:r>
      <w:r>
        <w:rPr>
          <w:rStyle w:val="26"/>
          <w:lang w:val="en-GB"/>
        </w:rPr>
        <w:t>5.1</w:t>
      </w:r>
      <w:r>
        <w:rPr>
          <w:rFonts w:asciiTheme="minorHAnsi" w:hAnsiTheme="minorHAnsi" w:eastAsiaTheme="minorEastAsia" w:cstheme="minorBidi"/>
          <w:szCs w:val="22"/>
        </w:rPr>
        <w:tab/>
      </w:r>
      <w:r>
        <w:rPr>
          <w:rStyle w:val="26"/>
        </w:rPr>
        <w:t>工况表</w:t>
      </w:r>
      <w:r>
        <w:tab/>
      </w:r>
      <w:r>
        <w:fldChar w:fldCharType="begin"/>
      </w:r>
      <w:r>
        <w:instrText xml:space="preserve"> PAGEREF _Toc92059209 \h </w:instrText>
      </w:r>
      <w:r>
        <w:fldChar w:fldCharType="separate"/>
      </w:r>
      <w:r>
        <w:t>14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"_Toc92059210" </w:instrText>
      </w:r>
      <w:r>
        <w:fldChar w:fldCharType="separate"/>
      </w:r>
      <w:r>
        <w:rPr>
          <w:rStyle w:val="26"/>
          <w:lang w:val="en-GB"/>
        </w:rPr>
        <w:t>5.2</w:t>
      </w:r>
      <w:r>
        <w:rPr>
          <w:rFonts w:asciiTheme="minorHAnsi" w:hAnsiTheme="minorHAnsi" w:eastAsiaTheme="minorEastAsia" w:cstheme="minorBidi"/>
          <w:szCs w:val="22"/>
        </w:rPr>
        <w:tab/>
      </w:r>
      <w:r>
        <w:rPr>
          <w:rStyle w:val="26"/>
        </w:rPr>
        <w:t>冬季工况</w:t>
      </w:r>
      <w:r>
        <w:tab/>
      </w:r>
      <w:r>
        <w:fldChar w:fldCharType="begin"/>
      </w:r>
      <w:r>
        <w:instrText xml:space="preserve"> PAGEREF _Toc92059210 \h </w:instrText>
      </w:r>
      <w:r>
        <w:fldChar w:fldCharType="separate"/>
      </w:r>
      <w:r>
        <w:t>14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"_Toc92059211" </w:instrText>
      </w:r>
      <w:r>
        <w:fldChar w:fldCharType="separate"/>
      </w:r>
      <w:r>
        <w:rPr>
          <w:rStyle w:val="26"/>
          <w:lang w:val="en-GB"/>
        </w:rPr>
        <w:t>5.2.1</w:t>
      </w:r>
      <w:r>
        <w:rPr>
          <w:rFonts w:asciiTheme="minorHAnsi" w:hAnsiTheme="minorHAnsi" w:eastAsiaTheme="minorEastAsia" w:cstheme="minorBidi"/>
          <w:szCs w:val="22"/>
        </w:rPr>
        <w:tab/>
      </w:r>
      <w:r>
        <w:rPr>
          <w:rStyle w:val="26"/>
        </w:rPr>
        <w:t>风速达标分析</w:t>
      </w:r>
      <w:r>
        <w:tab/>
      </w:r>
      <w:r>
        <w:fldChar w:fldCharType="begin"/>
      </w:r>
      <w:r>
        <w:instrText xml:space="preserve"> PAGEREF _Toc92059211 \h </w:instrText>
      </w:r>
      <w:r>
        <w:fldChar w:fldCharType="separate"/>
      </w:r>
      <w:r>
        <w:t>14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"_Toc92059212" </w:instrText>
      </w:r>
      <w:r>
        <w:fldChar w:fldCharType="separate"/>
      </w:r>
      <w:r>
        <w:rPr>
          <w:rStyle w:val="26"/>
          <w:lang w:val="en-GB"/>
        </w:rPr>
        <w:t>5.2.2</w:t>
      </w:r>
      <w:r>
        <w:rPr>
          <w:rFonts w:asciiTheme="minorHAnsi" w:hAnsiTheme="minorHAnsi" w:eastAsiaTheme="minorEastAsia" w:cstheme="minorBidi"/>
          <w:szCs w:val="22"/>
        </w:rPr>
        <w:tab/>
      </w:r>
      <w:r>
        <w:rPr>
          <w:rStyle w:val="26"/>
        </w:rPr>
        <w:t>风速放大系数达标分析</w:t>
      </w:r>
      <w:r>
        <w:tab/>
      </w:r>
      <w:r>
        <w:fldChar w:fldCharType="begin"/>
      </w:r>
      <w:r>
        <w:instrText xml:space="preserve"> PAGEREF _Toc92059212 \h </w:instrText>
      </w:r>
      <w:r>
        <w:fldChar w:fldCharType="separate"/>
      </w:r>
      <w:r>
        <w:t>16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"_Toc92059213" </w:instrText>
      </w:r>
      <w:r>
        <w:fldChar w:fldCharType="separate"/>
      </w:r>
      <w:r>
        <w:rPr>
          <w:rStyle w:val="26"/>
          <w:lang w:val="en-GB"/>
        </w:rPr>
        <w:t>5.2.3</w:t>
      </w:r>
      <w:r>
        <w:rPr>
          <w:rFonts w:asciiTheme="minorHAnsi" w:hAnsiTheme="minorHAnsi" w:eastAsiaTheme="minorEastAsia" w:cstheme="minorBidi"/>
          <w:szCs w:val="22"/>
        </w:rPr>
        <w:tab/>
      </w:r>
      <w:r>
        <w:rPr>
          <w:rStyle w:val="26"/>
          <w:rFonts w:cs="宋体"/>
          <w:lang w:val="en-GB"/>
        </w:rPr>
        <w:t>人行区域</w:t>
      </w:r>
      <w:r>
        <w:rPr>
          <w:rStyle w:val="26"/>
        </w:rPr>
        <w:t>冬季工况风速/风速放大系数达标判定</w:t>
      </w:r>
      <w:r>
        <w:tab/>
      </w:r>
      <w:r>
        <w:fldChar w:fldCharType="begin"/>
      </w:r>
      <w:r>
        <w:instrText xml:space="preserve"> PAGEREF _Toc92059213 \h </w:instrText>
      </w:r>
      <w:r>
        <w:fldChar w:fldCharType="separate"/>
      </w:r>
      <w:r>
        <w:t>17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"_Toc92059214" </w:instrText>
      </w:r>
      <w:r>
        <w:fldChar w:fldCharType="separate"/>
      </w:r>
      <w:r>
        <w:rPr>
          <w:rStyle w:val="26"/>
          <w:lang w:val="en-GB"/>
        </w:rPr>
        <w:t>5.2.4</w:t>
      </w:r>
      <w:r>
        <w:rPr>
          <w:rFonts w:asciiTheme="minorHAnsi" w:hAnsiTheme="minorHAnsi" w:eastAsiaTheme="minorEastAsia" w:cstheme="minorBidi"/>
          <w:szCs w:val="22"/>
        </w:rPr>
        <w:tab/>
      </w:r>
      <w:r>
        <w:rPr>
          <w:rStyle w:val="26"/>
        </w:rPr>
        <w:t>建筑迎风面和背风面风压分析</w:t>
      </w:r>
      <w:r>
        <w:tab/>
      </w:r>
      <w:r>
        <w:fldChar w:fldCharType="begin"/>
      </w:r>
      <w:r>
        <w:instrText xml:space="preserve"> PAGEREF _Toc92059214 \h </w:instrText>
      </w:r>
      <w:r>
        <w:fldChar w:fldCharType="separate"/>
      </w:r>
      <w:r>
        <w:t>17</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"_Toc92059215" </w:instrText>
      </w:r>
      <w:r>
        <w:fldChar w:fldCharType="separate"/>
      </w:r>
      <w:r>
        <w:rPr>
          <w:rStyle w:val="26"/>
          <w:lang w:val="en-GB"/>
        </w:rPr>
        <w:t>5.3</w:t>
      </w:r>
      <w:r>
        <w:rPr>
          <w:rFonts w:asciiTheme="minorHAnsi" w:hAnsiTheme="minorHAnsi" w:eastAsiaTheme="minorEastAsia" w:cstheme="minorBidi"/>
          <w:szCs w:val="22"/>
        </w:rPr>
        <w:tab/>
      </w:r>
      <w:r>
        <w:rPr>
          <w:rStyle w:val="26"/>
        </w:rPr>
        <w:t>夏季工况</w:t>
      </w:r>
      <w:r>
        <w:tab/>
      </w:r>
      <w:r>
        <w:fldChar w:fldCharType="begin"/>
      </w:r>
      <w:r>
        <w:instrText xml:space="preserve"> PAGEREF _Toc92059215 \h </w:instrText>
      </w:r>
      <w:r>
        <w:fldChar w:fldCharType="separate"/>
      </w:r>
      <w:r>
        <w:t>20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"_Toc92059216" </w:instrText>
      </w:r>
      <w:r>
        <w:fldChar w:fldCharType="separate"/>
      </w:r>
      <w:r>
        <w:rPr>
          <w:rStyle w:val="26"/>
          <w:lang w:val="en-GB"/>
        </w:rPr>
        <w:t>5.3.1</w:t>
      </w:r>
      <w:r>
        <w:rPr>
          <w:rFonts w:asciiTheme="minorHAnsi" w:hAnsiTheme="minorHAnsi" w:eastAsiaTheme="minorEastAsia" w:cstheme="minorBidi"/>
          <w:szCs w:val="22"/>
        </w:rPr>
        <w:tab/>
      </w:r>
      <w:r>
        <w:rPr>
          <w:rStyle w:val="26"/>
        </w:rPr>
        <w:t>无风区计算分析</w:t>
      </w:r>
      <w:r>
        <w:tab/>
      </w:r>
      <w:r>
        <w:fldChar w:fldCharType="begin"/>
      </w:r>
      <w:r>
        <w:instrText xml:space="preserve"> PAGEREF _Toc92059216 \h </w:instrText>
      </w:r>
      <w:r>
        <w:fldChar w:fldCharType="separate"/>
      </w:r>
      <w:r>
        <w:t>21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"_Toc92059217" </w:instrText>
      </w:r>
      <w:r>
        <w:fldChar w:fldCharType="separate"/>
      </w:r>
      <w:r>
        <w:rPr>
          <w:rStyle w:val="26"/>
          <w:lang w:val="en-GB"/>
        </w:rPr>
        <w:t>5.3.2</w:t>
      </w:r>
      <w:r>
        <w:rPr>
          <w:rFonts w:asciiTheme="minorHAnsi" w:hAnsiTheme="minorHAnsi" w:eastAsiaTheme="minorEastAsia" w:cstheme="minorBidi"/>
          <w:szCs w:val="22"/>
        </w:rPr>
        <w:tab/>
      </w:r>
      <w:r>
        <w:rPr>
          <w:rStyle w:val="26"/>
        </w:rPr>
        <w:t>旋涡区分析</w:t>
      </w:r>
      <w:r>
        <w:tab/>
      </w:r>
      <w:r>
        <w:fldChar w:fldCharType="begin"/>
      </w:r>
      <w:r>
        <w:instrText xml:space="preserve"> PAGEREF _Toc92059217 \h </w:instrText>
      </w:r>
      <w:r>
        <w:fldChar w:fldCharType="separate"/>
      </w:r>
      <w:r>
        <w:t>22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"_Toc92059218" </w:instrText>
      </w:r>
      <w:r>
        <w:fldChar w:fldCharType="separate"/>
      </w:r>
      <w:r>
        <w:rPr>
          <w:rStyle w:val="26"/>
          <w:lang w:val="en-GB"/>
        </w:rPr>
        <w:t>5.3.3</w:t>
      </w:r>
      <w:r>
        <w:rPr>
          <w:rFonts w:asciiTheme="minorHAnsi" w:hAnsiTheme="minorHAnsi" w:eastAsiaTheme="minorEastAsia" w:cstheme="minorBidi"/>
          <w:szCs w:val="22"/>
        </w:rPr>
        <w:tab/>
      </w:r>
      <w:r>
        <w:rPr>
          <w:rStyle w:val="26"/>
        </w:rPr>
        <w:t>人行区域旋涡区/无风区达标判定</w:t>
      </w:r>
      <w:r>
        <w:tab/>
      </w:r>
      <w:r>
        <w:fldChar w:fldCharType="begin"/>
      </w:r>
      <w:r>
        <w:instrText xml:space="preserve"> PAGEREF _Toc92059218 \h </w:instrText>
      </w:r>
      <w:r>
        <w:fldChar w:fldCharType="separate"/>
      </w:r>
      <w:r>
        <w:t>23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"_Toc92059219" </w:instrText>
      </w:r>
      <w:r>
        <w:fldChar w:fldCharType="separate"/>
      </w:r>
      <w:r>
        <w:rPr>
          <w:rStyle w:val="26"/>
          <w:lang w:val="en-GB"/>
        </w:rPr>
        <w:t>5.3.4</w:t>
      </w:r>
      <w:r>
        <w:rPr>
          <w:rFonts w:asciiTheme="minorHAnsi" w:hAnsiTheme="minorHAnsi" w:eastAsiaTheme="minorEastAsia" w:cstheme="minorBidi"/>
          <w:szCs w:val="22"/>
        </w:rPr>
        <w:tab/>
      </w:r>
      <w:r>
        <w:rPr>
          <w:rStyle w:val="26"/>
        </w:rPr>
        <w:t>外窗内外表面风压差达标分析</w:t>
      </w:r>
      <w:r>
        <w:tab/>
      </w:r>
      <w:r>
        <w:fldChar w:fldCharType="begin"/>
      </w:r>
      <w:r>
        <w:instrText xml:space="preserve"> PAGEREF _Toc92059219 \h </w:instrText>
      </w:r>
      <w:r>
        <w:fldChar w:fldCharType="separate"/>
      </w:r>
      <w:r>
        <w:t>23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"_Toc92059220" </w:instrText>
      </w:r>
      <w:r>
        <w:fldChar w:fldCharType="separate"/>
      </w:r>
      <w:r>
        <w:rPr>
          <w:rStyle w:val="26"/>
          <w:lang w:val="en-GB"/>
        </w:rPr>
        <w:t>5.4</w:t>
      </w:r>
      <w:r>
        <w:rPr>
          <w:rFonts w:asciiTheme="minorHAnsi" w:hAnsiTheme="minorHAnsi" w:eastAsiaTheme="minorEastAsia" w:cstheme="minorBidi"/>
          <w:szCs w:val="22"/>
        </w:rPr>
        <w:tab/>
      </w:r>
      <w:r>
        <w:rPr>
          <w:rStyle w:val="26"/>
        </w:rPr>
        <w:t>过渡季工况</w:t>
      </w:r>
      <w:r>
        <w:tab/>
      </w:r>
      <w:r>
        <w:fldChar w:fldCharType="begin"/>
      </w:r>
      <w:r>
        <w:instrText xml:space="preserve"> PAGEREF _Toc92059220 \h </w:instrText>
      </w:r>
      <w:r>
        <w:fldChar w:fldCharType="separate"/>
      </w:r>
      <w:r>
        <w:t>25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"_Toc92059221" </w:instrText>
      </w:r>
      <w:r>
        <w:fldChar w:fldCharType="separate"/>
      </w:r>
      <w:r>
        <w:rPr>
          <w:rStyle w:val="26"/>
          <w:lang w:val="en-GB"/>
        </w:rPr>
        <w:t>5.4.1</w:t>
      </w:r>
      <w:r>
        <w:rPr>
          <w:rFonts w:asciiTheme="minorHAnsi" w:hAnsiTheme="minorHAnsi" w:eastAsiaTheme="minorEastAsia" w:cstheme="minorBidi"/>
          <w:szCs w:val="22"/>
        </w:rPr>
        <w:tab/>
      </w:r>
      <w:r>
        <w:rPr>
          <w:rStyle w:val="26"/>
        </w:rPr>
        <w:t>无风区计算分析</w:t>
      </w:r>
      <w:r>
        <w:tab/>
      </w:r>
      <w:r>
        <w:fldChar w:fldCharType="begin"/>
      </w:r>
      <w:r>
        <w:instrText xml:space="preserve"> PAGEREF _Toc92059221 \h </w:instrText>
      </w:r>
      <w:r>
        <w:fldChar w:fldCharType="separate"/>
      </w:r>
      <w:r>
        <w:t>25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"_Toc92059222" </w:instrText>
      </w:r>
      <w:r>
        <w:fldChar w:fldCharType="separate"/>
      </w:r>
      <w:r>
        <w:rPr>
          <w:rStyle w:val="26"/>
          <w:lang w:val="en-GB"/>
        </w:rPr>
        <w:t>5.4.2</w:t>
      </w:r>
      <w:r>
        <w:rPr>
          <w:rFonts w:asciiTheme="minorHAnsi" w:hAnsiTheme="minorHAnsi" w:eastAsiaTheme="minorEastAsia" w:cstheme="minorBidi"/>
          <w:szCs w:val="22"/>
        </w:rPr>
        <w:tab/>
      </w:r>
      <w:r>
        <w:rPr>
          <w:rStyle w:val="26"/>
        </w:rPr>
        <w:t>旋涡区分析</w:t>
      </w:r>
      <w:r>
        <w:tab/>
      </w:r>
      <w:r>
        <w:fldChar w:fldCharType="begin"/>
      </w:r>
      <w:r>
        <w:instrText xml:space="preserve"> PAGEREF _Toc92059222 \h </w:instrText>
      </w:r>
      <w:r>
        <w:fldChar w:fldCharType="separate"/>
      </w:r>
      <w:r>
        <w:t>27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"_Toc92059223" </w:instrText>
      </w:r>
      <w:r>
        <w:fldChar w:fldCharType="separate"/>
      </w:r>
      <w:r>
        <w:rPr>
          <w:rStyle w:val="26"/>
          <w:lang w:val="en-GB"/>
        </w:rPr>
        <w:t>5.4.3</w:t>
      </w:r>
      <w:r>
        <w:rPr>
          <w:rFonts w:asciiTheme="minorHAnsi" w:hAnsiTheme="minorHAnsi" w:eastAsiaTheme="minorEastAsia" w:cstheme="minorBidi"/>
          <w:szCs w:val="22"/>
        </w:rPr>
        <w:tab/>
      </w:r>
      <w:r>
        <w:rPr>
          <w:rStyle w:val="26"/>
        </w:rPr>
        <w:t>人行区域旋涡区/无风区达标判定</w:t>
      </w:r>
      <w:r>
        <w:tab/>
      </w:r>
      <w:r>
        <w:fldChar w:fldCharType="begin"/>
      </w:r>
      <w:r>
        <w:instrText xml:space="preserve"> PAGEREF _Toc92059223 \h </w:instrText>
      </w:r>
      <w:r>
        <w:fldChar w:fldCharType="separate"/>
      </w:r>
      <w:r>
        <w:t>28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"_Toc92059224" </w:instrText>
      </w:r>
      <w:r>
        <w:fldChar w:fldCharType="separate"/>
      </w:r>
      <w:r>
        <w:rPr>
          <w:rStyle w:val="26"/>
          <w:lang w:val="en-GB"/>
        </w:rPr>
        <w:t>5.4.4</w:t>
      </w:r>
      <w:r>
        <w:rPr>
          <w:rFonts w:asciiTheme="minorHAnsi" w:hAnsiTheme="minorHAnsi" w:eastAsiaTheme="minorEastAsia" w:cstheme="minorBidi"/>
          <w:szCs w:val="22"/>
        </w:rPr>
        <w:tab/>
      </w:r>
      <w:r>
        <w:rPr>
          <w:rStyle w:val="26"/>
        </w:rPr>
        <w:t>外窗内外表面风压差达标分析</w:t>
      </w:r>
      <w:r>
        <w:tab/>
      </w:r>
      <w:r>
        <w:fldChar w:fldCharType="begin"/>
      </w:r>
      <w:r>
        <w:instrText xml:space="preserve"> PAGEREF _Toc92059224 \h </w:instrText>
      </w:r>
      <w:r>
        <w:fldChar w:fldCharType="separate"/>
      </w:r>
      <w:r>
        <w:t>28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"_Toc92059225" </w:instrText>
      </w:r>
      <w:r>
        <w:fldChar w:fldCharType="separate"/>
      </w:r>
      <w:r>
        <w:rPr>
          <w:rStyle w:val="26"/>
          <w:lang w:val="en-GB"/>
        </w:rPr>
        <w:t>5.5</w:t>
      </w:r>
      <w:r>
        <w:rPr>
          <w:rFonts w:asciiTheme="minorHAnsi" w:hAnsiTheme="minorHAnsi" w:eastAsiaTheme="minorEastAsia" w:cstheme="minorBidi"/>
          <w:szCs w:val="22"/>
        </w:rPr>
        <w:tab/>
      </w:r>
      <w:r>
        <w:rPr>
          <w:rStyle w:val="26"/>
        </w:rPr>
        <w:t>结论</w:t>
      </w:r>
      <w:r>
        <w:tab/>
      </w:r>
      <w:r>
        <w:fldChar w:fldCharType="begin"/>
      </w:r>
      <w:r>
        <w:instrText xml:space="preserve"> PAGEREF _Toc92059225 \h </w:instrText>
      </w:r>
      <w:r>
        <w:fldChar w:fldCharType="separate"/>
      </w:r>
      <w:r>
        <w:t>30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"_Toc92059226" </w:instrText>
      </w:r>
      <w:r>
        <w:fldChar w:fldCharType="separate"/>
      </w:r>
      <w:r>
        <w:rPr>
          <w:rStyle w:val="26"/>
          <w:lang w:val="en-GB"/>
        </w:rPr>
        <w:t>5.5.1</w:t>
      </w:r>
      <w:r>
        <w:rPr>
          <w:rFonts w:asciiTheme="minorHAnsi" w:hAnsiTheme="minorHAnsi" w:eastAsiaTheme="minorEastAsia" w:cstheme="minorBidi"/>
          <w:szCs w:val="22"/>
        </w:rPr>
        <w:tab/>
      </w:r>
      <w:r>
        <w:rPr>
          <w:rStyle w:val="26"/>
        </w:rPr>
        <w:t>冬季工况达标判断</w:t>
      </w:r>
      <w:r>
        <w:tab/>
      </w:r>
      <w:r>
        <w:fldChar w:fldCharType="begin"/>
      </w:r>
      <w:r>
        <w:instrText xml:space="preserve"> PAGEREF _Toc92059226 \h </w:instrText>
      </w:r>
      <w:r>
        <w:fldChar w:fldCharType="separate"/>
      </w:r>
      <w:r>
        <w:t>30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"_Toc92059227" </w:instrText>
      </w:r>
      <w:r>
        <w:fldChar w:fldCharType="separate"/>
      </w:r>
      <w:r>
        <w:rPr>
          <w:rStyle w:val="26"/>
          <w:lang w:val="en-GB"/>
        </w:rPr>
        <w:t>5.5.2</w:t>
      </w:r>
      <w:r>
        <w:rPr>
          <w:rFonts w:asciiTheme="minorHAnsi" w:hAnsiTheme="minorHAnsi" w:eastAsiaTheme="minorEastAsia" w:cstheme="minorBidi"/>
          <w:szCs w:val="22"/>
        </w:rPr>
        <w:tab/>
      </w:r>
      <w:r>
        <w:rPr>
          <w:rStyle w:val="26"/>
        </w:rPr>
        <w:t>过渡季、夏季工况达标判断</w:t>
      </w:r>
      <w:r>
        <w:tab/>
      </w:r>
      <w:r>
        <w:fldChar w:fldCharType="begin"/>
      </w:r>
      <w:r>
        <w:instrText xml:space="preserve"> PAGEREF _Toc92059227 \h </w:instrText>
      </w:r>
      <w:r>
        <w:fldChar w:fldCharType="separate"/>
      </w:r>
      <w:r>
        <w:t>30</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7" w:name="_Toc452108759"/>
      <w:bookmarkStart w:id="8" w:name="_Toc92059191"/>
      <w:r>
        <w:rPr>
          <w:rFonts w:hint="eastAsia"/>
        </w:rPr>
        <w:t>项目概况</w:t>
      </w:r>
      <w:bookmarkEnd w:id="7"/>
      <w:bookmarkEnd w:id="8"/>
    </w:p>
    <w:p>
      <w:pPr>
        <w:pStyle w:val="3"/>
        <w:ind w:firstLine="420"/>
        <w:rPr>
          <w:lang w:val="en-US"/>
        </w:rPr>
      </w:pPr>
      <w:bookmarkStart w:id="9" w:name="项目概况"/>
      <w:bookmarkEnd w:id="9"/>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0" w:name="_Toc452108760"/>
      <w:bookmarkStart w:id="11" w:name="_Toc92059192"/>
      <w:r>
        <w:rPr>
          <w:rFonts w:hint="eastAsia"/>
        </w:rPr>
        <w:t>总</w:t>
      </w:r>
      <w:r>
        <w:t>平面图</w:t>
      </w:r>
      <w:bookmarkEnd w:id="10"/>
      <w:bookmarkEnd w:id="11"/>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993"/>
        <w:gridCol w:w="992"/>
        <w:gridCol w:w="992"/>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2" w:name="总平面图图例表"/>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广场</w:t>
            </w:r>
          </w:p>
        </w:tc>
        <w:tc>
          <w:tcPr>
            <w:tcW w:w="993" w:type="dxa"/>
            <w:tcBorders>
              <w:top w:val="single" w:color="auto" w:sz="4" w:space="0"/>
              <w:left w:val="single" w:color="auto" w:sz="4" w:space="0"/>
              <w:bottom w:val="single" w:color="auto" w:sz="4" w:space="0"/>
              <w:right w:val="single" w:color="auto" w:sz="4" w:space="0"/>
            </w:tcBorders>
            <w:shd w:val="clear" w:color="auto" w:fill="40B1A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游憩场</w:t>
            </w:r>
          </w:p>
        </w:tc>
        <w:tc>
          <w:tcPr>
            <w:tcW w:w="992"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A65353"/>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FFFF40"/>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2" w:type="dxa"/>
            <w:tcBorders>
              <w:top w:val="single" w:color="auto" w:sz="4" w:space="0"/>
              <w:left w:val="single" w:color="auto" w:sz="4" w:space="0"/>
              <w:bottom w:val="single" w:color="auto" w:sz="4" w:space="0"/>
              <w:right w:val="single" w:color="auto" w:sz="4" w:space="0"/>
            </w:tcBorders>
            <w:shd w:val="clear" w:color="auto" w:fill="C6C5C3"/>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建筑</w:t>
            </w:r>
          </w:p>
        </w:tc>
        <w:tc>
          <w:tcPr>
            <w:tcW w:w="993" w:type="dxa"/>
            <w:tcBorders>
              <w:top w:val="single" w:color="auto" w:sz="4" w:space="0"/>
              <w:left w:val="single" w:color="auto" w:sz="4" w:space="0"/>
              <w:bottom w:val="single" w:color="auto" w:sz="4" w:space="0"/>
              <w:right w:val="single" w:color="auto" w:sz="4" w:space="0"/>
            </w:tcBorders>
            <w:shd w:val="clear" w:color="auto" w:fill="A60000"/>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bookmarkEnd w:id="12"/>
    </w:tbl>
    <w:p>
      <w:pPr>
        <w:pStyle w:val="3"/>
        <w:ind w:firstLine="0" w:firstLineChars="0"/>
        <w:jc w:val="center"/>
        <w:rPr>
          <w:lang w:val="en-US"/>
        </w:rPr>
      </w:pPr>
      <w:r>
        <w:rPr>
          <w:rFonts w:hint="eastAsia"/>
          <w:lang w:val="en-US"/>
        </w:rPr>
        <w:t xml:space="preserve"> </w:t>
      </w:r>
      <w:bookmarkStart w:id="13" w:name="总平面图"/>
      <w:bookmarkEnd w:id="13"/>
      <w: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0"/>
                    <a:stretch>
                      <a:fillRect/>
                    </a:stretch>
                  </pic:blipFill>
                  <pic:spPr>
                    <a:xfrm>
                      <a:off x="0" y="0"/>
                      <a:ext cx="5667375" cy="381000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4" w:name="_Toc452108761"/>
      <w:bookmarkStart w:id="15" w:name="_Toc92059193"/>
      <w:r>
        <w:rPr>
          <w:rFonts w:hint="eastAsia"/>
        </w:rPr>
        <w:t>三</w:t>
      </w:r>
      <w:r>
        <w:t>维视图</w:t>
      </w:r>
      <w:bookmarkEnd w:id="14"/>
      <w:bookmarkEnd w:id="1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993"/>
        <w:gridCol w:w="992"/>
        <w:gridCol w:w="992"/>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6" w:name="三维视图图例表"/>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广场</w:t>
            </w:r>
          </w:p>
        </w:tc>
        <w:tc>
          <w:tcPr>
            <w:tcW w:w="993" w:type="dxa"/>
            <w:tcBorders>
              <w:top w:val="single" w:color="auto" w:sz="4" w:space="0"/>
              <w:left w:val="single" w:color="auto" w:sz="4" w:space="0"/>
              <w:bottom w:val="single" w:color="auto" w:sz="4" w:space="0"/>
              <w:right w:val="single" w:color="auto" w:sz="4" w:space="0"/>
            </w:tcBorders>
            <w:shd w:val="clear" w:color="auto" w:fill="40B1A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游憩场</w:t>
            </w:r>
          </w:p>
        </w:tc>
        <w:tc>
          <w:tcPr>
            <w:tcW w:w="992"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A65353"/>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FFFF40"/>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2" w:type="dxa"/>
            <w:tcBorders>
              <w:top w:val="single" w:color="auto" w:sz="4" w:space="0"/>
              <w:left w:val="single" w:color="auto" w:sz="4" w:space="0"/>
              <w:bottom w:val="single" w:color="auto" w:sz="4" w:space="0"/>
              <w:right w:val="single" w:color="auto" w:sz="4" w:space="0"/>
            </w:tcBorders>
            <w:shd w:val="clear" w:color="auto" w:fill="C6C5C3"/>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建筑</w:t>
            </w:r>
          </w:p>
        </w:tc>
        <w:tc>
          <w:tcPr>
            <w:tcW w:w="993" w:type="dxa"/>
            <w:tcBorders>
              <w:top w:val="single" w:color="auto" w:sz="4" w:space="0"/>
              <w:left w:val="single" w:color="auto" w:sz="4" w:space="0"/>
              <w:bottom w:val="single" w:color="auto" w:sz="4" w:space="0"/>
              <w:right w:val="single" w:color="auto" w:sz="4" w:space="0"/>
            </w:tcBorders>
            <w:shd w:val="clear" w:color="auto" w:fill="A60000"/>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bookmarkEnd w:id="16"/>
    </w:tbl>
    <w:p>
      <w:pPr>
        <w:pStyle w:val="3"/>
        <w:ind w:firstLine="0" w:firstLineChars="0"/>
        <w:jc w:val="center"/>
        <w:rPr>
          <w:lang w:val="en-US"/>
        </w:rPr>
      </w:pPr>
      <w:r>
        <w:rPr>
          <w:rFonts w:hint="eastAsia"/>
          <w:lang w:val="en-US"/>
        </w:rPr>
        <w:t xml:space="preserve"> </w:t>
      </w:r>
      <w:bookmarkStart w:id="17" w:name="三维视图"/>
      <w:bookmarkEnd w:id="17"/>
      <w: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1"/>
                    <a:stretch>
                      <a:fillRect/>
                    </a:stretch>
                  </pic:blipFill>
                  <pic:spPr>
                    <a:xfrm>
                      <a:off x="0" y="0"/>
                      <a:ext cx="5667375" cy="38195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18" w:name="_Toc452108762"/>
      <w:bookmarkStart w:id="19" w:name="_Toc92059194"/>
      <w:bookmarkStart w:id="20" w:name="TitleFormat"/>
      <w:r>
        <w:rPr>
          <w:rFonts w:hint="eastAsia"/>
        </w:rPr>
        <w:t>计算</w:t>
      </w:r>
      <w:r>
        <w:t>依据</w:t>
      </w:r>
      <w:bookmarkEnd w:id="18"/>
      <w:bookmarkEnd w:id="19"/>
      <w:bookmarkEnd w:id="20"/>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r>
        <w:rPr>
          <w:rFonts w:hint="eastAsia"/>
          <w:lang w:val="en-US"/>
        </w:rPr>
        <w:t>《绿色建筑评价标准》GB/T 50378—</w:t>
      </w:r>
      <w:r>
        <w:rPr>
          <w:lang w:val="en-US"/>
        </w:rPr>
        <w:t>2019</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1" w:name="_Toc452108763"/>
      <w:bookmarkStart w:id="22" w:name="_Toc92059195"/>
      <w:r>
        <w:rPr>
          <w:rFonts w:hint="eastAsia"/>
        </w:rPr>
        <w:t>参考</w:t>
      </w:r>
      <w:r>
        <w:t>标准</w:t>
      </w:r>
      <w:bookmarkEnd w:id="21"/>
      <w:bookmarkEnd w:id="22"/>
    </w:p>
    <w:p>
      <w:pPr>
        <w:pStyle w:val="3"/>
        <w:ind w:firstLine="420"/>
        <w:rPr>
          <w:lang w:val="en-US"/>
        </w:rPr>
      </w:pPr>
      <w:r>
        <w:rPr>
          <w:rFonts w:hint="eastAsia"/>
          <w:lang w:val="en-US"/>
        </w:rPr>
        <w:t>室外风环境评价依据为《绿色建筑评价标准》GB/T 50378—2019中有关室外风环境的条目要求。具体要求如下：</w:t>
      </w:r>
    </w:p>
    <w:p>
      <w:pPr>
        <w:pStyle w:val="3"/>
        <w:ind w:firstLine="420"/>
        <w:rPr>
          <w:lang w:val="en-US"/>
        </w:rPr>
      </w:pPr>
      <w:bookmarkStart w:id="23" w:name="_Toc451698935"/>
      <w:bookmarkStart w:id="24" w:name="_Toc452108764"/>
      <w:bookmarkStart w:id="25"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r>
        <w:rPr>
          <w:lang w:val="en-US"/>
        </w:rPr>
        <w:t>3</w:t>
      </w:r>
      <w:r>
        <w:rPr>
          <w:rFonts w:hint="eastAsia"/>
          <w:lang w:val="en-US"/>
        </w:rPr>
        <w:t>分；除迎风第一排建筑外，建筑迎风面与背风面表面风压差不超过5Pa，得</w:t>
      </w:r>
      <w:r>
        <w:rPr>
          <w:lang w:val="en-US"/>
        </w:rPr>
        <w:t>2</w:t>
      </w:r>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r>
        <w:rPr>
          <w:lang w:val="en-US"/>
        </w:rPr>
        <w:t>3</w:t>
      </w:r>
      <w:r>
        <w:rPr>
          <w:rFonts w:hint="eastAsia"/>
          <w:lang w:val="en-US"/>
        </w:rPr>
        <w:t>分；50%以上可开启外窗室内外表面的风压差大于0.5Pa，得</w:t>
      </w:r>
      <w:r>
        <w:rPr>
          <w:lang w:val="en-US"/>
        </w:rPr>
        <w:t>2</w:t>
      </w:r>
      <w:r>
        <w:rPr>
          <w:rFonts w:hint="eastAsia"/>
          <w:lang w:val="en-US"/>
        </w:rPr>
        <w:t>分。</w:t>
      </w:r>
    </w:p>
    <w:p>
      <w:pPr>
        <w:pStyle w:val="2"/>
      </w:pPr>
      <w:bookmarkStart w:id="26" w:name="_Toc92059196"/>
      <w:r>
        <w:rPr>
          <w:rFonts w:hint="eastAsia"/>
        </w:rPr>
        <w:t>计算原理</w:t>
      </w:r>
      <w:bookmarkEnd w:id="23"/>
      <w:bookmarkEnd w:id="24"/>
      <w:bookmarkEnd w:id="26"/>
    </w:p>
    <w:p>
      <w:pPr>
        <w:pStyle w:val="4"/>
        <w:numPr>
          <w:ilvl w:val="1"/>
          <w:numId w:val="3"/>
        </w:numPr>
      </w:pPr>
      <w:bookmarkStart w:id="27" w:name="_Toc509844740"/>
      <w:bookmarkStart w:id="28" w:name="_Toc92059197"/>
      <w:bookmarkStart w:id="29" w:name="_Toc451698937"/>
      <w:bookmarkStart w:id="30" w:name="_Toc452108765"/>
      <w:r>
        <w:rPr>
          <w:rFonts w:hint="eastAsia"/>
        </w:rPr>
        <w:t>风场计算域</w:t>
      </w:r>
      <w:bookmarkEnd w:id="27"/>
      <w:bookmarkEnd w:id="28"/>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1" w:name="_Toc92059198"/>
      <w:r>
        <w:rPr>
          <w:rFonts w:hint="eastAsia"/>
        </w:rPr>
        <w:t>冬季工况风场计算域</w:t>
      </w:r>
      <w:bookmarkEnd w:id="31"/>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冬季工况风场计算域信息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142</w:t>
            </w:r>
          </w:p>
        </w:tc>
      </w:tr>
    </w:tbl>
    <w:p>
      <w:pPr>
        <w:pStyle w:val="3"/>
        <w:ind w:firstLine="0" w:firstLineChars="0"/>
        <w:jc w:val="center"/>
        <w:rPr>
          <w:lang w:val="en-US"/>
        </w:rPr>
      </w:pPr>
      <w:r>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2"/>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冬季</w:t>
      </w:r>
      <w:r>
        <w:rPr>
          <w:rFonts w:hint="eastAsia"/>
        </w:rPr>
        <w:t>工况风场计算域图示</w:t>
      </w:r>
      <w:r>
        <w:rPr>
          <w:rFonts w:hint="eastAsia"/>
          <w:szCs w:val="21"/>
          <w:lang w:val="en-US"/>
        </w:rPr>
        <w:t xml:space="preserve"> </w:t>
      </w:r>
    </w:p>
    <w:p>
      <w:pPr>
        <w:pStyle w:val="5"/>
        <w:numPr>
          <w:ilvl w:val="2"/>
          <w:numId w:val="3"/>
        </w:numPr>
      </w:pPr>
      <w:bookmarkStart w:id="32" w:name="_Toc92059199"/>
      <w:r>
        <w:rPr>
          <w:rFonts w:hint="eastAsia"/>
        </w:rPr>
        <w:t>夏季工况风场计算域</w:t>
      </w:r>
      <w:bookmarkEnd w:id="32"/>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142</w:t>
            </w:r>
          </w:p>
        </w:tc>
      </w:tr>
    </w:tbl>
    <w:p>
      <w:pPr>
        <w:pStyle w:val="3"/>
        <w:ind w:firstLine="0" w:firstLineChars="0"/>
        <w:jc w:val="center"/>
        <w:rPr>
          <w:lang w:val="en-US"/>
        </w:rPr>
      </w:pPr>
      <w:r>
        <w:drawing>
          <wp:inline distT="0" distB="0" distL="0" distR="0">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3"/>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5"/>
        <w:numPr>
          <w:ilvl w:val="2"/>
          <w:numId w:val="3"/>
        </w:numPr>
      </w:pPr>
      <w:bookmarkStart w:id="33" w:name="_Toc92059200"/>
      <w:r>
        <w:rPr>
          <w:rFonts w:hint="eastAsia"/>
        </w:rPr>
        <w:t>过渡季工况风场计算域</w:t>
      </w:r>
      <w:bookmarkEnd w:id="33"/>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4" w:name="冬季风场X尺寸"/>
            <w:r>
              <w:t>351</w:t>
            </w:r>
            <w:bookmarkEnd w:id="3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5" w:name="冬季风场Y尺寸"/>
            <w:r>
              <w:t>320</w:t>
            </w:r>
            <w:bookmarkEnd w:id="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6" w:name="冬季风场Z尺寸"/>
            <w:r>
              <w:t>142</w:t>
            </w:r>
            <w:bookmarkEnd w:id="36"/>
          </w:p>
        </w:tc>
      </w:tr>
    </w:tbl>
    <w:p>
      <w:pPr>
        <w:pStyle w:val="3"/>
        <w:ind w:firstLine="0" w:firstLineChars="0"/>
        <w:jc w:val="center"/>
        <w:rPr>
          <w:lang w:val="en-US"/>
        </w:rPr>
      </w:pPr>
      <w:bookmarkStart w:id="37" w:name="冬季工况风场计算域图示"/>
      <w:bookmarkEnd w:id="37"/>
      <w:r>
        <w:drawing>
          <wp:inline distT="0" distB="0" distL="0" distR="0">
            <wp:extent cx="5667375" cy="36195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3"/>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pPr>
        <w:pStyle w:val="3"/>
        <w:ind w:firstLine="315" w:firstLineChars="150"/>
        <w:rPr>
          <w:lang w:val="en-US"/>
        </w:rPr>
      </w:pPr>
      <w:bookmarkStart w:id="38" w:name="计算域"/>
      <w:bookmarkEnd w:id="38"/>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39" w:name="_Toc92059201"/>
      <w:bookmarkStart w:id="40" w:name="_Toc509844741"/>
      <w:r>
        <w:rPr>
          <w:rFonts w:hint="eastAsia"/>
        </w:rPr>
        <w:t>网格划分</w:t>
      </w:r>
      <w:bookmarkEnd w:id="39"/>
      <w:bookmarkEnd w:id="40"/>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41" w:name="OLE_LINK276"/>
      <w:bookmarkStart w:id="42" w:name="OLE_LINK277"/>
      <w:r>
        <w:rPr>
          <w:rFonts w:hint="eastAsia"/>
        </w:rPr>
        <w:t>1）普通网格：指除靠近地面和建筑以外的网格，通常不需要特别加密处理</w:t>
      </w:r>
    </w:p>
    <w:p>
      <w:pPr>
        <w:pStyle w:val="12"/>
        <w:numPr>
          <w:ilvl w:val="0"/>
          <w:numId w:val="4"/>
        </w:numPr>
        <w:spacing w:before="156"/>
      </w:pPr>
      <w:bookmarkStart w:id="43" w:name="OLE_LINK15"/>
      <w:r>
        <w:rPr>
          <w:rFonts w:hint="eastAsia"/>
        </w:rPr>
        <w:t>分弧精度：对于有圆弧特征的建筑局部，把圆弧分解为线段时，弦到弧的最大距离；</w:t>
      </w:r>
    </w:p>
    <w:bookmarkEnd w:id="43"/>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bookmarkEnd w:id="41"/>
      <w:bookmarkEnd w:id="42"/>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304128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305180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bookmarkStart w:id="44" w:name="冬季网格总数"/>
            <w:r>
              <w:t>305180</w:t>
            </w:r>
            <w:bookmarkEnd w:id="4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5" w:name="冬季分弧精度"/>
            <w:r>
              <w:t>0.24</w:t>
            </w:r>
            <w:bookmarkEnd w:id="4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6" w:name="冬季初始网格"/>
            <w:r>
              <w:t>8.0</w:t>
            </w:r>
            <w:bookmarkEnd w:id="4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7" w:name="冬季最小细分级数"/>
            <w:r>
              <w:t>1</w:t>
            </w:r>
            <w:bookmarkEnd w:id="4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8" w:name="冬季最大细分级数"/>
            <w:r>
              <w:t>2</w:t>
            </w:r>
            <w:bookmarkEnd w:id="4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9" w:name="冬季远场细分级数"/>
            <w:r>
              <w:t>1</w:t>
            </w:r>
            <w:bookmarkEnd w:id="49"/>
          </w:p>
        </w:tc>
      </w:tr>
      <w:tr>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0" w:name="冬季近场细分级数"/>
            <w:r>
              <w:t>2</w:t>
            </w:r>
            <w:bookmarkEnd w:id="5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1" w:name="冬季地面附面层数"/>
            <w:r>
              <w:t>2</w:t>
            </w:r>
            <w:bookmarkEnd w:id="51"/>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2" w:name="冬季建筑附面层数"/>
            <w:r>
              <w:t>0</w:t>
            </w:r>
            <w:bookmarkEnd w:id="52"/>
          </w:p>
        </w:tc>
      </w:tr>
    </w:tbl>
    <w:p>
      <w:pPr>
        <w:rPr>
          <w:szCs w:val="21"/>
          <w:lang w:val="en-US"/>
        </w:rPr>
      </w:pPr>
    </w:p>
    <w:p>
      <w:pPr>
        <w:pStyle w:val="3"/>
        <w:ind w:firstLine="630" w:firstLineChars="300"/>
        <w:rPr>
          <w:rFonts w:ascii="黑体" w:hAnsi="黑体" w:eastAsia="黑体"/>
          <w:szCs w:val="20"/>
        </w:rPr>
      </w:pPr>
      <w:bookmarkStart w:id="53" w:name="网格划分信息"/>
      <w:bookmarkEnd w:id="53"/>
      <w:r>
        <w:rPr>
          <w:rFonts w:hint="eastAsia" w:ascii="黑体" w:hAnsi="黑体" w:eastAsia="黑体"/>
          <w:szCs w:val="20"/>
          <w:lang w:val="en-US"/>
        </w:rPr>
        <w:t>注：前述计算域随风向不同，所以相同的网格方案会产生不同的网格数量。</w:t>
      </w:r>
    </w:p>
    <w:p>
      <w:pPr>
        <w:pStyle w:val="4"/>
        <w:numPr>
          <w:ilvl w:val="1"/>
          <w:numId w:val="3"/>
        </w:numPr>
      </w:pPr>
      <w:bookmarkStart w:id="54" w:name="_Toc509844742"/>
      <w:bookmarkStart w:id="55" w:name="_Toc92059202"/>
      <w:r>
        <w:rPr>
          <w:rFonts w:hint="eastAsia"/>
        </w:rPr>
        <w:t>边界条件</w:t>
      </w:r>
      <w:bookmarkEnd w:id="54"/>
      <w:bookmarkEnd w:id="55"/>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56" w:name="_Toc509844743"/>
      <w:bookmarkStart w:id="57" w:name="_Toc92059203"/>
      <w:r>
        <w:rPr>
          <w:rFonts w:hint="eastAsia"/>
        </w:rPr>
        <w:t>入口与出口边界条件</w:t>
      </w:r>
      <w:bookmarkEnd w:id="56"/>
      <w:bookmarkEnd w:id="57"/>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35pt;width:71.4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8pt;width:15.0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8pt;width:14.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58" w:name="地面粗糙度指数2"/>
      <w:r>
        <w:rPr>
          <w:rFonts w:hint="eastAsia"/>
          <w:lang w:val="en-US"/>
        </w:rPr>
        <w:t>0.28</w:t>
      </w:r>
      <w:bookmarkEnd w:id="58"/>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59" w:name="_Toc509844744"/>
      <w:bookmarkStart w:id="60" w:name="_Toc92059204"/>
      <w:r>
        <w:rPr>
          <w:rFonts w:hint="eastAsia"/>
        </w:rPr>
        <w:t>壁面边界条件</w:t>
      </w:r>
      <w:bookmarkEnd w:id="59"/>
      <w:bookmarkEnd w:id="60"/>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61" w:name="_Toc92059205"/>
      <w:r>
        <w:rPr>
          <w:rFonts w:hint="eastAsia"/>
        </w:rPr>
        <w:t>湍流模型</w:t>
      </w:r>
      <w:bookmarkEnd w:id="29"/>
      <w:bookmarkEnd w:id="30"/>
      <w:bookmarkEnd w:id="61"/>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62" w:name="_Toc92059206"/>
      <w:bookmarkStart w:id="63" w:name="_Toc452108767"/>
      <w:bookmarkStart w:id="64" w:name="_Toc451698939"/>
      <w:r>
        <w:rPr>
          <w:rFonts w:hint="eastAsia"/>
        </w:rPr>
        <w:t>求解计算</w:t>
      </w:r>
      <w:bookmarkEnd w:id="62"/>
      <w:bookmarkEnd w:id="63"/>
      <w:bookmarkEnd w:id="64"/>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65"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5"/>
      <w:r>
        <w:rPr>
          <w:rFonts w:hint="eastAsia" w:ascii="黑体" w:hAnsi="黑体" w:eastAsia="黑体"/>
          <w:sz w:val="20"/>
          <w:szCs w:val="20"/>
        </w:rPr>
        <w:t xml:space="preserve"> </w:t>
      </w:r>
      <w:bookmarkStart w:id="66" w:name="_Ref225175618"/>
      <w:r>
        <w:rPr>
          <w:rFonts w:hint="eastAsia" w:ascii="黑体" w:hAnsi="黑体" w:eastAsia="黑体"/>
          <w:sz w:val="20"/>
          <w:szCs w:val="20"/>
        </w:rPr>
        <w:t>计算流体力学的控制方程</w:t>
      </w:r>
      <w:bookmarkEnd w:id="66"/>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5"/>
    </w:p>
    <w:p>
      <w:pPr>
        <w:pStyle w:val="4"/>
      </w:pPr>
      <w:bookmarkStart w:id="67" w:name="_Toc509844747"/>
      <w:bookmarkStart w:id="68" w:name="_Toc92059207"/>
      <w:r>
        <w:rPr>
          <w:rFonts w:hint="eastAsia"/>
        </w:rPr>
        <w:t>风速放大系数计算</w:t>
      </w:r>
      <w:bookmarkEnd w:id="67"/>
      <w:bookmarkEnd w:id="68"/>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5pt;width:12.9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25pt;width:24.2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4pt;width:24.2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4pt;width:20.4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69" w:name="地面粗糙度指数"/>
      <w:r>
        <w:rPr>
          <w:rFonts w:hint="eastAsia"/>
          <w:lang w:val="en-US"/>
        </w:rPr>
        <w:t>0.28</w:t>
      </w:r>
      <w:bookmarkEnd w:id="69"/>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70" w:name="_Toc92059208"/>
      <w:bookmarkStart w:id="71" w:name="_Toc452108768"/>
      <w:r>
        <w:rPr>
          <w:rFonts w:hint="eastAsia"/>
        </w:rPr>
        <w:t>结果</w:t>
      </w:r>
      <w:r>
        <w:t>分析</w:t>
      </w:r>
      <w:bookmarkEnd w:id="70"/>
      <w:bookmarkEnd w:id="71"/>
    </w:p>
    <w:p>
      <w:pPr>
        <w:pStyle w:val="4"/>
        <w:rPr>
          <w:szCs w:val="21"/>
        </w:rPr>
      </w:pPr>
      <w:bookmarkStart w:id="72" w:name="_Toc92059209"/>
      <w:r>
        <w:rPr>
          <w:rFonts w:hint="eastAsia"/>
          <w:szCs w:val="21"/>
        </w:rPr>
        <w:t>工况</w:t>
      </w:r>
      <w:r>
        <w:rPr>
          <w:szCs w:val="21"/>
        </w:rPr>
        <w:t>表</w:t>
      </w:r>
      <w:bookmarkEnd w:id="72"/>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73"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2.70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NNE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67.5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2.30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SSE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292.5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2.30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SSE</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292.5</w:t>
            </w:r>
          </w:p>
        </w:tc>
      </w:tr>
      <w:bookmarkEnd w:id="73"/>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74" w:name="_Toc92059210"/>
      <w:bookmarkStart w:id="75" w:name="_Toc509844750"/>
      <w:r>
        <w:rPr>
          <w:rFonts w:hint="eastAsia"/>
        </w:rPr>
        <w:t>冬季工况</w:t>
      </w:r>
      <w:bookmarkEnd w:id="74"/>
      <w:bookmarkEnd w:id="75"/>
    </w:p>
    <w:p>
      <w:pPr>
        <w:ind w:firstLine="420" w:firstLineChars="200"/>
        <w:jc w:val="both"/>
      </w:pPr>
      <w:r>
        <w:rPr>
          <w:rFonts w:hint="eastAsia"/>
          <w:lang w:val="en-US"/>
        </w:rPr>
        <w:t>本项目冬季工况的入口边界风速为</w:t>
      </w:r>
      <w:bookmarkStart w:id="76" w:name="冬季入口边界风速"/>
      <w:r>
        <w:rPr>
          <w:rFonts w:hint="eastAsia" w:ascii="Calibri" w:hAnsi="Calibri"/>
          <w:szCs w:val="21"/>
        </w:rPr>
        <w:t>2.70</w:t>
      </w:r>
      <w:bookmarkEnd w:id="76"/>
      <w:r>
        <w:rPr>
          <w:rFonts w:ascii="Calibri" w:hAnsi="Calibri"/>
          <w:szCs w:val="21"/>
        </w:rPr>
        <w:t>m/s</w:t>
      </w:r>
      <w:r>
        <w:rPr>
          <w:rFonts w:hint="eastAsia" w:ascii="Calibri" w:hAnsi="Calibri"/>
          <w:szCs w:val="21"/>
        </w:rPr>
        <w:t>，风向为</w:t>
      </w:r>
      <w:bookmarkStart w:id="77" w:name="冬季入口边界风向"/>
      <w:r>
        <w:rPr>
          <w:szCs w:val="21"/>
        </w:rPr>
        <w:t>NNE</w:t>
      </w:r>
      <w:bookmarkEnd w:id="77"/>
      <w:r>
        <w:rPr>
          <w:rFonts w:hint="eastAsia"/>
          <w:szCs w:val="21"/>
        </w:rPr>
        <w:t>。</w:t>
      </w:r>
    </w:p>
    <w:p>
      <w:pPr>
        <w:pStyle w:val="5"/>
      </w:pPr>
      <w:bookmarkStart w:id="78" w:name="_Toc92059211"/>
      <w:bookmarkStart w:id="79" w:name="_Toc509844751"/>
      <w:r>
        <w:rPr>
          <w:rFonts w:hint="eastAsia"/>
        </w:rPr>
        <w:t>风速达标分析</w:t>
      </w:r>
      <w:bookmarkEnd w:id="78"/>
      <w:bookmarkEnd w:id="79"/>
      <w:r>
        <w:rPr>
          <w:rFonts w:hint="eastAsia"/>
        </w:rPr>
        <w:t xml:space="preserve"> </w:t>
      </w:r>
    </w:p>
    <w:p>
      <w:pPr>
        <w:pStyle w:val="6"/>
      </w:pPr>
      <w:r>
        <w:t>人行区域风速达标分析</w:t>
      </w:r>
    </w:p>
    <w:p>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pPr>
        <w:pStyle w:val="3"/>
        <w:ind w:firstLine="420"/>
        <w:rPr>
          <w:lang w:val="en-US"/>
        </w:rPr>
      </w:pPr>
      <w:r>
        <w:rPr>
          <w:rFonts w:hint="eastAsia"/>
          <w:lang w:val="en-US"/>
        </w:rPr>
        <w:t>分析下列图数据，</w:t>
      </w:r>
      <w:bookmarkStart w:id="80" w:name="冬季工况人行区风速分析结论"/>
      <w:bookmarkEnd w:id="80"/>
      <w:r>
        <w:rPr>
          <w:lang w:val="en-US"/>
        </w:rPr>
        <w:t>未标示出超标区域，可知人行区域风速小于5m/s，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81" w:name="冬季工况人行区风速云图"/>
      <w:bookmarkEnd w:id="81"/>
      <w:r>
        <w:drawing>
          <wp:inline distT="0" distB="0" distL="0" distR="0">
            <wp:extent cx="5667375" cy="34671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0"/>
                    <a:stretch>
                      <a:fillRect/>
                    </a:stretch>
                  </pic:blipFill>
                  <pic:spPr>
                    <a:xfrm>
                      <a:off x="0" y="0"/>
                      <a:ext cx="5667375" cy="34671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pPr>
        <w:pStyle w:val="3"/>
        <w:ind w:firstLine="420"/>
        <w:jc w:val="left"/>
        <w:rPr>
          <w:lang w:val="en-US"/>
        </w:rPr>
      </w:pPr>
      <w:r>
        <w:rPr>
          <w:rFonts w:hint="eastAsia"/>
          <w:lang w:val="en-US"/>
        </w:rPr>
        <w:t>下图为整个计算域内风速分布云图，参考图中速度分布可以对项目中建筑布局进行优化。计算域内建筑周围如果有风速超限区域，图中会用速度上限值为5m/s的黑色等值线标示。分析下图数据，</w:t>
      </w:r>
      <w:bookmarkStart w:id="82" w:name="冬季工况风速分析结论"/>
      <w:r>
        <w:t>建筑周围没有风速超限区域，可以采用该建筑布局。</w:t>
      </w:r>
      <w:bookmarkEnd w:id="82"/>
    </w:p>
    <w:p>
      <w:pPr>
        <w:pStyle w:val="3"/>
        <w:ind w:hanging="2" w:firstLineChars="0"/>
        <w:jc w:val="center"/>
        <w:rPr>
          <w:rFonts w:ascii="Calibri Light" w:hAnsi="Calibri Light" w:eastAsia="黑体"/>
          <w:sz w:val="20"/>
          <w:szCs w:val="20"/>
        </w:rPr>
      </w:pPr>
      <w:bookmarkStart w:id="83" w:name="冬季工况风速云图"/>
      <w:bookmarkEnd w:id="83"/>
      <w:r>
        <w:drawing>
          <wp:inline distT="0" distB="0" distL="0" distR="0">
            <wp:extent cx="5667375" cy="34861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1"/>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计算域内-1.5米高度水平面风速云图-冬季</w:t>
      </w:r>
    </w:p>
    <w:p>
      <w:pPr>
        <w:pStyle w:val="5"/>
      </w:pPr>
      <w:bookmarkStart w:id="84" w:name="_Toc92059212"/>
      <w:bookmarkStart w:id="85" w:name="_Toc509844752"/>
      <w:r>
        <w:rPr>
          <w:rFonts w:hint="eastAsia"/>
        </w:rPr>
        <w:t>风速放大系数达标分析</w:t>
      </w:r>
      <w:bookmarkEnd w:id="84"/>
      <w:bookmarkEnd w:id="85"/>
    </w:p>
    <w:p>
      <w:pPr>
        <w:pStyle w:val="6"/>
      </w:pPr>
      <w:r>
        <w:rPr>
          <w:rFonts w:hint="eastAsia"/>
        </w:rPr>
        <w:t>人行区域</w:t>
      </w:r>
    </w:p>
    <w:p>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6" w:name="冬季工况人行区风速放大系数分析结论"/>
      <w:bookmarkEnd w:id="86"/>
      <w:r>
        <w:rPr>
          <w:lang w:val="en-US"/>
        </w:rPr>
        <w:t>图中未标示出风速放大系数超标区域，因此可知人行区域风速放大系数小于2，</w:t>
      </w:r>
      <w:r>
        <w:rPr>
          <w:color w:val="0000FF"/>
          <w:lang w:val="en-US"/>
        </w:rPr>
        <w:t>满足</w:t>
      </w:r>
      <w:r>
        <w:rPr>
          <w:lang w:val="en-US"/>
        </w:rPr>
        <w:t>绿标要求。</w:t>
      </w:r>
    </w:p>
    <w:p>
      <w:pPr>
        <w:pStyle w:val="13"/>
        <w:jc w:val="center"/>
      </w:pPr>
      <w:bookmarkStart w:id="87" w:name="冬季工况人行区风速放大系数云图"/>
      <w:bookmarkEnd w:id="87"/>
      <w:r>
        <w:drawing>
          <wp:inline distT="0" distB="0" distL="0" distR="0">
            <wp:extent cx="5667375" cy="34290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2"/>
                    <a:stretch>
                      <a:fillRect/>
                    </a:stretch>
                  </pic:blipFill>
                  <pic:spPr>
                    <a:xfrm>
                      <a:off x="0" y="0"/>
                      <a:ext cx="5667375" cy="34290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图数据，</w:t>
      </w:r>
      <w:bookmarkStart w:id="88" w:name="冬季工况风速放大系数分析结论"/>
      <w:r>
        <w:t>建筑周围出现风速放大系数超限区域，需酌情调整建筑布局。</w:t>
      </w:r>
      <w:bookmarkEnd w:id="88"/>
    </w:p>
    <w:p>
      <w:pPr>
        <w:pStyle w:val="13"/>
        <w:jc w:val="center"/>
        <w:rPr>
          <w:lang w:val="en-US"/>
        </w:rPr>
      </w:pPr>
      <w:bookmarkStart w:id="89" w:name="冬季工况风速放大系数云图"/>
      <w:bookmarkEnd w:id="89"/>
      <w:r>
        <w:drawing>
          <wp:inline distT="0" distB="0" distL="0" distR="0">
            <wp:extent cx="5667375" cy="34766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3"/>
                    <a:stretch>
                      <a:fillRect/>
                    </a:stretch>
                  </pic:blipFill>
                  <pic:spPr>
                    <a:xfrm>
                      <a:off x="0" y="0"/>
                      <a:ext cx="5667375" cy="3476625"/>
                    </a:xfrm>
                    <a:prstGeom prst="rect">
                      <a:avLst/>
                    </a:prstGeom>
                  </pic:spPr>
                </pic:pic>
              </a:graphicData>
            </a:graphic>
          </wp:inline>
        </w:drawing>
      </w:r>
    </w:p>
    <w:p>
      <w:pPr>
        <w:pStyle w:val="13"/>
        <w:jc w:val="center"/>
        <w:rPr>
          <w:rFonts w:ascii="黑体" w:hAnsi="黑体"/>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4</w:t>
      </w:r>
      <w:r>
        <w:rPr>
          <w:rFonts w:ascii="黑体" w:hAnsi="黑体"/>
        </w:rPr>
        <w:fldChar w:fldCharType="end"/>
      </w:r>
      <w:r>
        <w:rPr>
          <w:rFonts w:ascii="黑体" w:hAnsi="黑体"/>
        </w:rPr>
        <w:t xml:space="preserve">  </w:t>
      </w:r>
      <w:r>
        <w:rPr>
          <w:rFonts w:hint="eastAsia" w:ascii="黑体" w:hAnsi="黑体"/>
        </w:rPr>
        <w:t>1.5米高处风速放大系数云图</w:t>
      </w: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1）户外活动主要场地包括人行道、广场、游憩场、停车场以及庭院，本项目中均定义为人行区。</w:t>
      </w:r>
    </w:p>
    <w:p>
      <w:pPr>
        <w:pStyle w:val="3"/>
        <w:ind w:firstLine="420"/>
        <w:rPr>
          <w:rFonts w:ascii="黑体" w:hAnsi="黑体" w:eastAsia="黑体"/>
          <w:szCs w:val="20"/>
          <w:lang w:val="en-US"/>
        </w:rPr>
      </w:pPr>
      <w:r>
        <w:rPr>
          <w:rFonts w:hint="eastAsia" w:ascii="黑体" w:hAnsi="黑体" w:eastAsia="黑体"/>
          <w:szCs w:val="20"/>
          <w:lang w:val="en-US"/>
        </w:rPr>
        <w:t>2）人行区和计算域内风速分布云图中图例上限均为计算域内实际风速最大值，图例上限也可按需求在软件中调整。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5"/>
      </w:pPr>
      <w:bookmarkStart w:id="90" w:name="_Toc92059213"/>
      <w:bookmarkStart w:id="91" w:name="_Toc509844753"/>
      <w:r>
        <w:rPr>
          <w:rFonts w:hint="eastAsia" w:cs="宋体"/>
          <w:lang w:val="en-GB"/>
        </w:rPr>
        <w:t>人行区域</w:t>
      </w:r>
      <w:r>
        <w:rPr>
          <w:rFonts w:hint="eastAsia"/>
        </w:rPr>
        <w:t>冬季工况风速/风速放大系数达标判定</w:t>
      </w:r>
      <w:bookmarkEnd w:id="90"/>
      <w:bookmarkEnd w:id="91"/>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6378" w:type="dxa"/>
        <w:jc w:val="center"/>
        <w:tblLayout w:type="autofit"/>
        <w:tblCellMar>
          <w:top w:w="0" w:type="dxa"/>
          <w:left w:w="108" w:type="dxa"/>
          <w:bottom w:w="0" w:type="dxa"/>
          <w:right w:w="108" w:type="dxa"/>
        </w:tblCellMar>
      </w:tblPr>
      <w:tblGrid>
        <w:gridCol w:w="1559"/>
        <w:gridCol w:w="1701"/>
        <w:gridCol w:w="1843"/>
        <w:gridCol w:w="1275"/>
      </w:tblGrid>
      <w:tr>
        <w:tblPrEx>
          <w:tblCellMar>
            <w:top w:w="0" w:type="dxa"/>
            <w:left w:w="108" w:type="dxa"/>
            <w:bottom w:w="0" w:type="dxa"/>
            <w:right w:w="108" w:type="dxa"/>
          </w:tblCellMar>
        </w:tblPrEx>
        <w:trPr>
          <w:trHeight w:val="270" w:hRule="atLeast"/>
          <w:jc w:val="center"/>
        </w:trPr>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 xml:space="preserve">&lt;5m/s </w:t>
            </w:r>
            <w:bookmarkStart w:id="92" w:name="冬季工况风速要求2019"/>
            <w:r>
              <w:rPr>
                <w:rFonts w:hint="eastAsia" w:ascii="宋体" w:hAnsi="宋体" w:cs="宋体"/>
                <w:szCs w:val="21"/>
              </w:rPr>
              <w:t xml:space="preserve">或 </w:t>
            </w:r>
            <w:r>
              <w:rPr>
                <w:rFonts w:ascii="宋体" w:hAnsi="宋体" w:cs="宋体"/>
                <w:szCs w:val="21"/>
              </w:rPr>
              <w:t>&lt;2m/s</w:t>
            </w:r>
            <w:bookmarkEnd w:id="92"/>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93" w:name="冬季工况风速是否有超限区域"/>
            <w:r>
              <w:rPr>
                <w:rFonts w:hint="eastAsia" w:ascii="宋体" w:hAnsi="宋体" w:cs="宋体"/>
                <w:color w:val="000000"/>
                <w:sz w:val="22"/>
                <w:szCs w:val="22"/>
                <w:lang w:val="en-US"/>
              </w:rPr>
              <w:t>否</w:t>
            </w:r>
            <w:bookmarkEnd w:id="93"/>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94" w:name="冬季工况风速达标判断"/>
            <w:r>
              <w:rPr>
                <w:rFonts w:hint="eastAsia" w:ascii="宋体" w:hAnsi="宋体" w:cs="宋体"/>
                <w:color w:val="000000"/>
                <w:sz w:val="22"/>
                <w:szCs w:val="22"/>
                <w:lang w:val="en-US"/>
              </w:rPr>
              <w:t>是</w:t>
            </w:r>
            <w:bookmarkEnd w:id="94"/>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&lt;2</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95" w:name="冬季工况风速放大系数是否有超限区域"/>
            <w:r>
              <w:rPr>
                <w:rFonts w:hint="eastAsia" w:ascii="宋体" w:hAnsi="宋体" w:cs="宋体"/>
                <w:color w:val="000000"/>
                <w:sz w:val="22"/>
                <w:szCs w:val="22"/>
                <w:lang w:val="en-US"/>
              </w:rPr>
              <w:t>否</w:t>
            </w:r>
            <w:bookmarkEnd w:id="95"/>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96" w:name="冬季工况风速放大系数达标判断"/>
            <w:r>
              <w:rPr>
                <w:rFonts w:hint="eastAsia" w:ascii="宋体" w:hAnsi="宋体" w:cs="宋体"/>
                <w:color w:val="000000"/>
                <w:sz w:val="22"/>
                <w:szCs w:val="22"/>
                <w:lang w:val="en-US"/>
              </w:rPr>
              <w:t>是</w:t>
            </w:r>
            <w:bookmarkEnd w:id="96"/>
          </w:p>
        </w:tc>
      </w:tr>
    </w:tbl>
    <w:p>
      <w:pPr>
        <w:pStyle w:val="5"/>
      </w:pPr>
      <w:bookmarkStart w:id="97" w:name="_Toc509844755"/>
      <w:bookmarkEnd w:id="97"/>
      <w:bookmarkStart w:id="98" w:name="_Toc509844754"/>
      <w:bookmarkEnd w:id="98"/>
      <w:bookmarkStart w:id="99" w:name="_Toc509844756"/>
      <w:bookmarkEnd w:id="99"/>
      <w:bookmarkStart w:id="100" w:name="_Toc509844757"/>
      <w:bookmarkEnd w:id="100"/>
      <w:bookmarkStart w:id="101" w:name="_Toc509844758"/>
      <w:bookmarkStart w:id="102" w:name="_Toc92059214"/>
      <w:r>
        <w:rPr>
          <w:rFonts w:hint="eastAsia"/>
        </w:rPr>
        <w:t>建筑迎风面和背风面风压分析</w:t>
      </w:r>
      <w:bookmarkEnd w:id="101"/>
      <w:bookmarkEnd w:id="102"/>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103" w:name="冬季工况建筑迎风面风压云图"/>
      <w:bookmarkEnd w:id="103"/>
      <w:r>
        <w:drawing>
          <wp:inline distT="0" distB="0" distL="0" distR="0">
            <wp:extent cx="5667375" cy="36195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5"/>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104" w:name="冬季工况建筑背风面风压云图"/>
      <w:bookmarkEnd w:id="104"/>
      <w:r>
        <w:drawing>
          <wp:inline distT="0" distB="0" distL="0" distR="0">
            <wp:extent cx="5667375" cy="36385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6"/>
                    <a:stretch>
                      <a:fillRect/>
                    </a:stretch>
                  </pic:blipFill>
                  <pic:spPr>
                    <a:xfrm>
                      <a:off x="0" y="0"/>
                      <a:ext cx="5667375" cy="36385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bookmarkStart w:id="105" w:name="建筑迎风面和背风面风压差计算结果"/>
      <w:r>
        <w:rPr>
          <w:rFonts w:hint="eastAsia"/>
        </w:rPr>
        <w:t>建筑迎风面和背风面风压差计算结果</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06" w:name="建筑迎背风面风压差表_建筑名"/>
      <w:r>
        <w:rPr>
          <w:rFonts w:ascii="Cambria" w:hAnsi="Cambria" w:eastAsia="黑体"/>
          <w:sz w:val="20"/>
        </w:rPr>
        <w:t>DT单体(通风分析)</w:t>
      </w:r>
      <w:bookmarkEnd w:id="106"/>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-1.86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-2.13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-0.31</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-2.29</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1.98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-2.30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0.31</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-2.33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2.64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0.70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-2.34</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3.04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6层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2.14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-2.37</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4.51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7层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3.21</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-2.35</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5.56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8层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3.77</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-2.34</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6.11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9层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4.12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-2.36</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6.48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10层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3.97</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-2.53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6.50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0.57</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-2.31</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2.88</w:t>
            </w:r>
          </w:p>
        </w:tc>
      </w:tr>
    </w:tbl>
    <w:p>
      <w:bookmarkStart w:id="107" w:name="结论"/>
      <w:bookmarkEnd w:id="107"/>
      <w:r>
        <w:t>标准要求：迎背风面窗平均风压差（绝对值）≤5Pa。结论：该楼</w:t>
      </w:r>
      <w:r>
        <w:rPr>
          <w:b/>
          <w:color w:val="0000FF"/>
        </w:rPr>
        <w:t>达标</w:t>
      </w:r>
      <w:r>
        <w:t>。</w:t>
      </w:r>
    </w:p>
    <w:bookmarkEnd w:id="105"/>
    <w:p>
      <w:pPr>
        <w:jc w:val="center"/>
        <w:rPr>
          <w:rFonts w:ascii="Cambria" w:hAnsi="Cambria" w:eastAsia="黑体"/>
          <w:sz w:val="20"/>
        </w:rPr>
      </w:pPr>
      <w:bookmarkStart w:id="108" w:name="建筑迎背风面风压差表_新增"/>
      <w:bookmarkEnd w:id="108"/>
      <w:bookmarkStart w:id="109" w:name="建筑迎背风面风压差表"/>
    </w:p>
    <w:bookmarkEnd w:id="109"/>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10"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DT单体(通风分析)</w:t>
            </w:r>
          </w:p>
        </w:tc>
        <w:tc>
          <w:tcPr>
            <w:tcW w:w="1276" w:type="dxa"/>
            <w:shd w:val="clear" w:color="auto" w:fill="auto"/>
            <w:vAlign w:val="center"/>
          </w:tcPr>
          <w:p>
            <w:pPr>
              <w:jc w:val="center"/>
              <w:rPr>
                <w:lang w:val="en-US"/>
              </w:rPr>
            </w:pPr>
            <w:r>
              <w:rPr>
                <w:lang w:val="en-US"/>
              </w:rPr>
              <w:t>0.57</w:t>
            </w:r>
          </w:p>
        </w:tc>
        <w:tc>
          <w:tcPr>
            <w:tcW w:w="1276" w:type="dxa"/>
            <w:shd w:val="clear" w:color="auto" w:fill="auto"/>
            <w:vAlign w:val="center"/>
          </w:tcPr>
          <w:p>
            <w:pPr>
              <w:jc w:val="center"/>
              <w:rPr>
                <w:lang w:val="en-US"/>
              </w:rPr>
            </w:pPr>
            <w:r>
              <w:rPr>
                <w:lang w:val="en-US"/>
              </w:rPr>
              <w:t>-2.31</w:t>
            </w:r>
          </w:p>
        </w:tc>
        <w:tc>
          <w:tcPr>
            <w:tcW w:w="1701" w:type="dxa"/>
            <w:shd w:val="clear" w:color="auto" w:fill="auto"/>
            <w:vAlign w:val="center"/>
          </w:tcPr>
          <w:p>
            <w:pPr>
              <w:jc w:val="center"/>
              <w:rPr>
                <w:lang w:val="en-US"/>
              </w:rPr>
            </w:pPr>
            <w:r>
              <w:rPr>
                <w:lang w:val="en-US"/>
              </w:rPr>
              <w:t>2.88</w:t>
            </w:r>
          </w:p>
        </w:tc>
        <w:tc>
          <w:tcPr>
            <w:tcW w:w="973" w:type="dxa"/>
            <w:shd w:val="clear" w:color="auto" w:fill="auto"/>
            <w:vAlign w:val="center"/>
          </w:tcPr>
          <w:p>
            <w:pPr>
              <w:jc w:val="center"/>
              <w:rPr>
                <w:lang w:val="en-US"/>
              </w:rPr>
            </w:pPr>
            <w:r>
              <w:rPr>
                <w:lang w:val="en-US"/>
              </w:rPr>
              <w:t>是</w:t>
            </w:r>
          </w:p>
        </w:tc>
      </w:tr>
      <w:bookmarkEnd w:id="110"/>
    </w:tbl>
    <w:p>
      <w:pPr>
        <w:rPr>
          <w:lang w:val="en-US"/>
        </w:rPr>
      </w:pPr>
      <w:bookmarkStart w:id="111" w:name="建筑迎风和背风面风压差结论汇总结论"/>
      <w:bookmarkEnd w:id="111"/>
      <w:r>
        <w:rPr>
          <w:lang w:val="en-US"/>
        </w:rPr>
        <w:t>结论：本项目中参评建筑</w:t>
      </w:r>
      <w:r>
        <w:rPr>
          <w:b/>
          <w:color w:val="0000FF"/>
          <w:lang w:val="en-US"/>
        </w:rPr>
        <w:t>满足</w:t>
      </w:r>
      <w:r>
        <w:rPr>
          <w:lang w:val="en-US"/>
        </w:rPr>
        <w:t>“除迎风第一排建筑外，建筑迎风面与背风面表面风压差不超过5Pa”的要求。</w:t>
      </w:r>
    </w:p>
    <w:p>
      <w:pPr>
        <w:rPr>
          <w:lang w:val="en-US"/>
        </w:rPr>
      </w:pPr>
      <w:bookmarkStart w:id="112" w:name="冬季工况"/>
      <w:bookmarkEnd w:id="112"/>
      <w:r>
        <w:rPr>
          <w:rFonts w:hint="eastAsia"/>
          <w:lang w:val="en-US"/>
        </w:rPr>
        <w:t xml:space="preserve"> </w:t>
      </w:r>
    </w:p>
    <w:p>
      <w:pPr>
        <w:pStyle w:val="4"/>
      </w:pPr>
      <w:bookmarkStart w:id="113" w:name="_Toc92059215"/>
      <w:r>
        <w:rPr>
          <w:rFonts w:hint="eastAsia"/>
        </w:rPr>
        <w:t>夏季工况</w:t>
      </w:r>
      <w:bookmarkEnd w:id="113"/>
    </w:p>
    <w:p>
      <w:pPr>
        <w:pStyle w:val="3"/>
        <w:ind w:firstLine="420"/>
      </w:pPr>
      <w:r>
        <w:rPr>
          <w:rFonts w:hint="eastAsia"/>
          <w:lang w:val="en-US"/>
        </w:rPr>
        <w:t>本项目夏季工况的入口边界风速为2.30m/s，风向为</w:t>
      </w:r>
      <w:r>
        <w:t>SSE</w:t>
      </w:r>
      <w:r>
        <w:rPr>
          <w:rFonts w:hint="eastAsia"/>
          <w:lang w:val="en-US"/>
        </w:rPr>
        <w:t>。</w:t>
      </w:r>
    </w:p>
    <w:p>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行区有明显的气流旋涡和无风区，从而造成闷热不适感。因此本项目需要分析建筑周围人行区的风速和风速放大系数分布，并作出判断。</w:t>
      </w:r>
    </w:p>
    <w:p>
      <w:pPr>
        <w:pStyle w:val="3"/>
        <w:ind w:firstLine="422"/>
        <w:rPr>
          <w:lang w:val="en-US"/>
        </w:rPr>
      </w:pPr>
      <w:r>
        <w:rPr>
          <w:rFonts w:hint="eastAsia"/>
          <w:b/>
          <w:lang w:val="en-US"/>
        </w:rPr>
        <w:t>无风区的定义</w:t>
      </w:r>
      <w:r>
        <w:rPr>
          <w:rFonts w:hint="eastAsia"/>
          <w:lang w:val="en-US"/>
        </w:rPr>
        <w:t xml:space="preserve"> 通常当人行区域风速≤0.2m/s时，该区域风向标处于静止状态，在此区域活动的人会有明显的无风感，则该区域为无风区。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14" w:name="_Toc92059216"/>
      <w:r>
        <w:rPr>
          <w:rFonts w:hint="eastAsia"/>
        </w:rPr>
        <w:t>无风区计算分析</w:t>
      </w:r>
      <w:bookmarkEnd w:id="114"/>
    </w:p>
    <w:p>
      <w:pPr>
        <w:pStyle w:val="6"/>
      </w:pPr>
      <w:r>
        <w:rPr>
          <w:rFonts w:hint="eastAsia"/>
        </w:rPr>
        <w:t>人行区域</w:t>
      </w:r>
    </w:p>
    <w:p>
      <w:pPr>
        <w:pStyle w:val="3"/>
        <w:spacing w:after="156" w:afterLines="50"/>
        <w:ind w:firstLine="420"/>
        <w:jc w:val="left"/>
      </w:pPr>
      <w:r>
        <w:rPr>
          <w:rFonts w:hint="eastAsia"/>
          <w:lang w:val="en-US"/>
        </w:rPr>
        <w:t>本项目通过CFD计算获取整个计算域内以及人行区的风速分布，并通过速度下限为0</w:t>
      </w:r>
      <w:r>
        <w:rPr>
          <w:lang w:val="en-US"/>
        </w:rPr>
        <w:t>.</w:t>
      </w:r>
      <w:r>
        <w:rPr>
          <w:rFonts w:hint="eastAsia"/>
          <w:lang w:val="en-US"/>
        </w:rPr>
        <w:t>2m/s的速度等值线标示出超限区域。结合下列图和表中数据，</w:t>
      </w:r>
      <w:r>
        <w:t>人行区内未标示出风速</w:t>
      </w:r>
      <w:r>
        <w:rPr>
          <w:color w:val="0000FF"/>
        </w:rPr>
        <w:t>小于</w:t>
      </w:r>
      <w:r>
        <w:t>0.2m/s的超限区域，因此人行区风速</w:t>
      </w:r>
      <w:r>
        <w:rPr>
          <w:color w:val="0000FF"/>
        </w:rPr>
        <w:t>满足</w:t>
      </w:r>
      <w:r>
        <w:t>绿标要求，项目可采用现有建筑布局。</w:t>
      </w:r>
    </w:p>
    <w:p>
      <w:pPr>
        <w:pStyle w:val="3"/>
        <w:spacing w:after="156" w:afterLines="50"/>
        <w:ind w:firstLine="0" w:firstLineChars="0"/>
        <w:jc w:val="center"/>
      </w:pPr>
      <w: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7"/>
                    <a:stretch>
                      <a:fillRect/>
                    </a:stretch>
                  </pic:blipFill>
                  <pic:spPr>
                    <a:xfrm>
                      <a:off x="0" y="0"/>
                      <a:ext cx="5667375" cy="34671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人行区域-1.5米高度水平面风速云图-夏季</w:t>
      </w:r>
      <w:r>
        <w:rPr>
          <w:rFonts w:hint="eastAsia"/>
        </w:rPr>
        <w:t xml:space="preserve"> </w:t>
      </w:r>
    </w:p>
    <w:p>
      <w:pPr>
        <w:pStyle w:val="3"/>
        <w:tabs>
          <w:tab w:val="left" w:pos="426"/>
        </w:tabs>
        <w:ind w:firstLine="420"/>
      </w:pPr>
      <w:r>
        <w:rPr>
          <w:rFonts w:hint="eastAsia"/>
        </w:rPr>
        <w:t>下图为整个计算域内风速分布云图，参考图中速度分布可以对项目中建筑布局进行优化。分析下图，</w:t>
      </w:r>
      <w:r>
        <w:t>黑色等值线标示出了人行区内风速小于0.2m/s的超限区域，因此未满足绿标要求，需调整建筑布局优化区域内风速分布。</w:t>
      </w:r>
    </w:p>
    <w:p>
      <w:pPr>
        <w:pStyle w:val="3"/>
        <w:spacing w:after="156" w:afterLines="50"/>
        <w:ind w:firstLine="0" w:firstLineChars="0"/>
        <w:jc w:val="center"/>
      </w:pPr>
      <w:r>
        <w:drawing>
          <wp:inline distT="0" distB="0" distL="0" distR="0">
            <wp:extent cx="5667375" cy="34861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8"/>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计算域内-1.5米高度水平面风速云图-夏季</w:t>
      </w:r>
    </w:p>
    <w:p>
      <w:pPr>
        <w:pStyle w:val="5"/>
      </w:pPr>
      <w:bookmarkStart w:id="115" w:name="_Toc92059217"/>
      <w:r>
        <w:rPr>
          <w:rFonts w:hint="eastAsia"/>
        </w:rPr>
        <w:t>旋涡区分析</w:t>
      </w:r>
      <w:bookmarkEnd w:id="115"/>
    </w:p>
    <w:p>
      <w:pPr>
        <w:pStyle w:val="6"/>
      </w:pPr>
      <w:r>
        <w:rPr>
          <w:rFonts w:hint="eastAsia"/>
        </w:rPr>
        <w:t>人行区域</w:t>
      </w:r>
    </w:p>
    <w:p>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旋涡区的空气流运动体现在风速矢量图中，即若干矢量箭头以某位置为中心顺时针或者逆时针旋转呈螺旋状分布。分析下图可知，人行区没有明显的旋涡产生，因此满足绿标要求。</w:t>
      </w:r>
    </w:p>
    <w:p>
      <w:pPr>
        <w:pStyle w:val="3"/>
        <w:ind w:firstLine="0" w:firstLineChars="0"/>
        <w:jc w:val="center"/>
        <w:rPr>
          <w:lang w:val="en-US"/>
        </w:rPr>
      </w:pPr>
      <w:r>
        <w:drawing>
          <wp:inline distT="0" distB="0" distL="0" distR="0">
            <wp:extent cx="5667375" cy="36195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79"/>
                    <a:stretch>
                      <a:fillRect/>
                    </a:stretch>
                  </pic:blipFill>
                  <pic:spPr>
                    <a:xfrm>
                      <a:off x="0" y="0"/>
                      <a:ext cx="5667375" cy="36195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人行区域-1.5米高度水平面风速矢量图</w:t>
      </w:r>
      <w:r>
        <w:rPr>
          <w:rFonts w:hint="eastAsia"/>
          <w:lang w:val="en-US"/>
        </w:rPr>
        <w:t xml:space="preserve"> </w:t>
      </w:r>
    </w:p>
    <w:p>
      <w:pPr>
        <w:pStyle w:val="3"/>
        <w:tabs>
          <w:tab w:val="left" w:pos="426"/>
        </w:tabs>
        <w:ind w:firstLine="420"/>
        <w:rPr>
          <w:lang w:val="en-US"/>
        </w:rPr>
      </w:pPr>
      <w:r>
        <w:rPr>
          <w:rFonts w:hint="eastAsia"/>
          <w:lang w:val="en-US"/>
        </w:rPr>
        <w:t>下图为计算域内的风速矢量图，分析下图可知，计算域内没有明显的旋涡产生，本项目建筑布局基本合理。</w:t>
      </w:r>
    </w:p>
    <w:p>
      <w:pPr>
        <w:pStyle w:val="3"/>
        <w:ind w:firstLine="0" w:firstLineChars="0"/>
        <w:jc w:val="center"/>
        <w:rPr>
          <w:lang w:val="en-US"/>
        </w:rPr>
      </w:pPr>
      <w:r>
        <w:drawing>
          <wp:inline distT="0" distB="0" distL="0" distR="0">
            <wp:extent cx="5667375" cy="3667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80"/>
                    <a:stretch>
                      <a:fillRect/>
                    </a:stretch>
                  </pic:blipFill>
                  <pic:spPr>
                    <a:xfrm>
                      <a:off x="0" y="0"/>
                      <a:ext cx="5667375" cy="3667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计算域内-1.5米高度水平面风速矢量图</w:t>
      </w:r>
    </w:p>
    <w:p>
      <w:pPr>
        <w:pStyle w:val="5"/>
      </w:pPr>
      <w:bookmarkStart w:id="116" w:name="_Toc92059218"/>
      <w:r>
        <w:rPr>
          <w:rFonts w:hint="eastAsia"/>
        </w:rPr>
        <w:t>人行区域旋涡区/无风区达标判定</w:t>
      </w:r>
      <w:bookmarkEnd w:id="116"/>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pPr>
        <w:pStyle w:val="5"/>
      </w:pPr>
      <w:bookmarkStart w:id="117" w:name="_Toc92059219"/>
      <w:r>
        <w:rPr>
          <w:rFonts w:hint="eastAsia"/>
        </w:rPr>
        <w:t>外窗内外表面风压差达标分析</w:t>
      </w:r>
      <w:bookmarkEnd w:id="117"/>
    </w:p>
    <w:p>
      <w:pPr>
        <w:pStyle w:val="3"/>
        <w:ind w:firstLine="420"/>
      </w:pPr>
      <w:r>
        <w:rPr>
          <w:rFonts w:hint="eastAsia"/>
          <w:lang w:val="en-US"/>
        </w:rPr>
        <w:t>分析《绿色建筑评价标准》，夏季为充分利用自然通风获得良好的室内风环境，要求50%以上可开启外窗室内外表面的风压差大于0.5Pa。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r>
        <w:drawing>
          <wp:inline distT="0" distB="0" distL="0" distR="0">
            <wp:extent cx="5667375" cy="3619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81"/>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建筑迎风面外窗表面风压云图-夏季</w:t>
      </w:r>
    </w:p>
    <w:p>
      <w:pPr>
        <w:pStyle w:val="13"/>
        <w:jc w:val="center"/>
      </w:pPr>
      <w:r>
        <w:drawing>
          <wp:inline distT="0" distB="0" distL="0" distR="0">
            <wp:extent cx="5667375" cy="36385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82"/>
                    <a:stretch>
                      <a:fillRect/>
                    </a:stretch>
                  </pic:blipFill>
                  <pic:spPr>
                    <a:xfrm>
                      <a:off x="0" y="0"/>
                      <a:ext cx="5667375" cy="36385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6</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建筑背风面外窗表面风压云图-夏季</w:t>
      </w:r>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DT单体(通风分析)</w:t>
            </w:r>
          </w:p>
        </w:tc>
        <w:tc>
          <w:tcPr>
            <w:tcW w:w="1134" w:type="dxa"/>
            <w:shd w:val="clear" w:color="auto" w:fill="auto"/>
            <w:vAlign w:val="center"/>
          </w:tcPr>
          <w:p>
            <w:pPr>
              <w:jc w:val="center"/>
              <w:rPr>
                <w:lang w:val="en-US"/>
              </w:rPr>
            </w:pPr>
            <w:r>
              <w:rPr>
                <w:lang w:val="en-US"/>
              </w:rPr>
              <w:t>950</w:t>
            </w:r>
          </w:p>
        </w:tc>
        <w:tc>
          <w:tcPr>
            <w:tcW w:w="1984" w:type="dxa"/>
            <w:shd w:val="clear" w:color="auto" w:fill="auto"/>
            <w:vAlign w:val="center"/>
          </w:tcPr>
          <w:p>
            <w:pPr>
              <w:jc w:val="center"/>
              <w:rPr>
                <w:lang w:val="en-US"/>
              </w:rPr>
            </w:pPr>
            <w:r>
              <w:rPr>
                <w:lang w:val="en-US"/>
              </w:rPr>
              <w:t>782</w:t>
            </w:r>
          </w:p>
        </w:tc>
        <w:tc>
          <w:tcPr>
            <w:tcW w:w="1116" w:type="dxa"/>
            <w:shd w:val="clear" w:color="auto" w:fill="auto"/>
            <w:vAlign w:val="center"/>
          </w:tcPr>
          <w:p>
            <w:pPr>
              <w:jc w:val="center"/>
              <w:rPr>
                <w:lang w:val="en-US"/>
              </w:rPr>
            </w:pPr>
            <w:r>
              <w:rPr>
                <w:lang w:val="en-US"/>
              </w:rPr>
              <w:t>82.32</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p>
      <w:pPr>
        <w:rPr>
          <w:lang w:val="en-US"/>
        </w:rPr>
      </w:pPr>
    </w:p>
    <w:p/>
    <w:p>
      <w:pPr>
        <w:rPr>
          <w:lang w:val="en-US"/>
        </w:rPr>
      </w:pPr>
      <w:r>
        <w:rPr>
          <w:rFonts w:hint="eastAsia"/>
          <w:lang w:val="en-US"/>
        </w:rPr>
        <w:t xml:space="preserve">结论：本项目中所有建筑均满足“50%以上可开启外窗室内外表面的风压差大于0.5Pa”的要求。 </w:t>
      </w:r>
    </w:p>
    <w:p>
      <w:pPr>
        <w:pStyle w:val="4"/>
      </w:pPr>
      <w:bookmarkStart w:id="118" w:name="季节1"/>
      <w:bookmarkStart w:id="119" w:name="_Toc509844759"/>
      <w:bookmarkStart w:id="120" w:name="_Toc92059220"/>
      <w:r>
        <w:rPr>
          <w:rFonts w:hint="eastAsia"/>
        </w:rPr>
        <w:t>过渡季</w:t>
      </w:r>
      <w:bookmarkEnd w:id="118"/>
      <w:r>
        <w:rPr>
          <w:rFonts w:hint="eastAsia"/>
        </w:rPr>
        <w:t>工况</w:t>
      </w:r>
      <w:bookmarkEnd w:id="119"/>
      <w:bookmarkEnd w:id="120"/>
    </w:p>
    <w:p>
      <w:pPr>
        <w:pStyle w:val="3"/>
        <w:ind w:firstLine="420"/>
      </w:pPr>
      <w:r>
        <w:rPr>
          <w:rFonts w:hint="eastAsia"/>
          <w:lang w:val="en-US"/>
        </w:rPr>
        <w:t>本项目</w:t>
      </w:r>
      <w:bookmarkStart w:id="121" w:name="季节2"/>
      <w:r>
        <w:rPr>
          <w:rFonts w:hint="eastAsia"/>
          <w:lang w:val="en-US"/>
        </w:rPr>
        <w:t>过渡季</w:t>
      </w:r>
      <w:bookmarkEnd w:id="121"/>
      <w:r>
        <w:rPr>
          <w:rFonts w:hint="eastAsia"/>
          <w:lang w:val="en-US"/>
        </w:rPr>
        <w:t>工况的入口边界风速为</w:t>
      </w:r>
      <w:bookmarkStart w:id="122" w:name="入口边界风速"/>
      <w:r>
        <w:rPr>
          <w:rFonts w:hint="eastAsia"/>
          <w:lang w:val="en-US"/>
        </w:rPr>
        <w:t>2.30</w:t>
      </w:r>
      <w:bookmarkEnd w:id="122"/>
      <w:r>
        <w:rPr>
          <w:rFonts w:hint="eastAsia"/>
          <w:lang w:val="en-US"/>
        </w:rPr>
        <w:t>m/s，风向为</w:t>
      </w:r>
      <w:bookmarkStart w:id="123" w:name="入口边界风向"/>
      <w:r>
        <w:t>SSE</w:t>
      </w:r>
      <w:bookmarkEnd w:id="123"/>
      <w:r>
        <w:rPr>
          <w:rFonts w:hint="eastAsia"/>
          <w:lang w:val="en-US"/>
        </w:rPr>
        <w:t>。</w:t>
      </w:r>
    </w:p>
    <w:p>
      <w:pPr>
        <w:pStyle w:val="3"/>
        <w:ind w:firstLine="420"/>
      </w:pPr>
      <w:r>
        <w:rPr>
          <w:rFonts w:hint="eastAsia"/>
          <w:lang w:val="en-US"/>
        </w:rPr>
        <w:t>根据前述《绿色建筑评价标准》 对于夏季工况的要求，</w:t>
      </w:r>
      <w:bookmarkStart w:id="124" w:name="季节3"/>
      <w:r>
        <w:rPr>
          <w:rFonts w:hint="eastAsia"/>
          <w:lang w:val="en-US"/>
        </w:rPr>
        <w:t>过渡季</w:t>
      </w:r>
      <w:bookmarkEnd w:id="124"/>
      <w:r>
        <w:rPr>
          <w:rFonts w:hint="eastAsia"/>
          <w:lang w:val="en-US"/>
        </w:rPr>
        <w:t>典型风速和风向条件下，场地内人活动区不出现涡旋或无风区。通过该项标准指导设计确保合理的建筑布局，在</w:t>
      </w:r>
      <w:bookmarkStart w:id="125" w:name="季节4"/>
      <w:r>
        <w:rPr>
          <w:rFonts w:hint="eastAsia"/>
          <w:lang w:val="en-US"/>
        </w:rPr>
        <w:t>过渡季</w:t>
      </w:r>
      <w:bookmarkEnd w:id="125"/>
      <w:r>
        <w:rPr>
          <w:rFonts w:hint="eastAsia"/>
          <w:lang w:val="en-US"/>
        </w:rPr>
        <w:t>形成有效的巷道风，优化街区自然通风环境，避免</w:t>
      </w:r>
      <w:bookmarkStart w:id="126" w:name="季节5"/>
      <w:r>
        <w:rPr>
          <w:rFonts w:hint="eastAsia"/>
          <w:lang w:val="en-US"/>
        </w:rPr>
        <w:t>过渡季</w:t>
      </w:r>
      <w:bookmarkEnd w:id="126"/>
      <w:r>
        <w:rPr>
          <w:rFonts w:hint="eastAsia"/>
          <w:lang w:val="en-US"/>
        </w:rPr>
        <w:t>人行区有明显的气流旋涡和无风区，从而造成闷热不适感。因此本项目需要分析建筑周围人行区的风速和风速放大系数分布，并作出判断。</w:t>
      </w:r>
    </w:p>
    <w:p>
      <w:pPr>
        <w:pStyle w:val="3"/>
        <w:ind w:firstLine="422"/>
        <w:rPr>
          <w:lang w:val="en-US"/>
        </w:rPr>
      </w:pPr>
      <w:r>
        <w:rPr>
          <w:rFonts w:hint="eastAsia"/>
          <w:b/>
          <w:lang w:val="en-US"/>
        </w:rPr>
        <w:t>无风区的定义</w:t>
      </w:r>
      <w:r>
        <w:rPr>
          <w:rFonts w:hint="eastAsia"/>
          <w:lang w:val="en-US"/>
        </w:rPr>
        <w:t xml:space="preserve"> 通常当人行区域风速≤0.2m/s时，该区域风向标处于静止状态，在此区域活动的人会有明显的无风感，则该区域为无风区。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27" w:name="_Toc92059221"/>
      <w:bookmarkStart w:id="128" w:name="_Toc509844760"/>
      <w:r>
        <w:rPr>
          <w:rFonts w:hint="eastAsia"/>
        </w:rPr>
        <w:t>无风区计算分析</w:t>
      </w:r>
      <w:bookmarkEnd w:id="127"/>
      <w:bookmarkEnd w:id="128"/>
    </w:p>
    <w:p>
      <w:pPr>
        <w:pStyle w:val="6"/>
      </w:pPr>
      <w:r>
        <w:rPr>
          <w:rFonts w:hint="eastAsia"/>
        </w:rPr>
        <w:t>人行区域</w:t>
      </w:r>
    </w:p>
    <w:p>
      <w:pPr>
        <w:pStyle w:val="3"/>
        <w:spacing w:after="156" w:afterLines="50"/>
        <w:ind w:firstLine="420"/>
        <w:jc w:val="left"/>
      </w:pPr>
      <w:r>
        <w:rPr>
          <w:rFonts w:hint="eastAsia"/>
          <w:lang w:val="en-US"/>
        </w:rPr>
        <w:t>本项目通过CFD计算获取整个计算域内以及人行区的风速分布，并通过速度下限为0</w:t>
      </w:r>
      <w:r>
        <w:rPr>
          <w:lang w:val="en-US"/>
        </w:rPr>
        <w:t>.</w:t>
      </w:r>
      <w:r>
        <w:rPr>
          <w:rFonts w:hint="eastAsia"/>
          <w:lang w:val="en-US"/>
        </w:rPr>
        <w:t>2m/s的速度等值线标示出超限区域。结合下列图和表中数据，</w:t>
      </w:r>
      <w:bookmarkStart w:id="129" w:name="人行区风速分析结论"/>
      <w:bookmarkEnd w:id="129"/>
      <w:r>
        <w:t>人行区内未标示出风速</w:t>
      </w:r>
      <w:r>
        <w:rPr>
          <w:color w:val="0000FF"/>
        </w:rPr>
        <w:t>小于</w:t>
      </w:r>
      <w:r>
        <w:t>0.2m/s的超限区域，因此人行区风速</w:t>
      </w:r>
      <w:r>
        <w:rPr>
          <w:color w:val="0000FF"/>
        </w:rPr>
        <w:t>满足</w:t>
      </w:r>
      <w:r>
        <w:t>绿标要求，项目可采用现有建筑布局。</w:t>
      </w:r>
    </w:p>
    <w:p>
      <w:pPr>
        <w:pStyle w:val="3"/>
        <w:spacing w:after="156" w:afterLines="50"/>
        <w:ind w:firstLine="0" w:firstLineChars="0"/>
        <w:jc w:val="center"/>
      </w:pPr>
      <w:bookmarkStart w:id="130" w:name="人行区风速云图"/>
      <w:bookmarkEnd w:id="130"/>
      <w:r>
        <w:drawing>
          <wp:inline distT="0" distB="0" distL="0" distR="0">
            <wp:extent cx="5667375" cy="34671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3"/>
                    <a:stretch>
                      <a:fillRect/>
                    </a:stretch>
                  </pic:blipFill>
                  <pic:spPr>
                    <a:xfrm>
                      <a:off x="0" y="0"/>
                      <a:ext cx="5667375" cy="34671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w:t>
      </w:r>
      <w:bookmarkStart w:id="131" w:name="季节6"/>
      <w:r>
        <w:rPr>
          <w:rFonts w:hint="eastAsia" w:ascii="黑体" w:hAnsi="黑体" w:eastAsia="黑体"/>
          <w:sz w:val="20"/>
          <w:szCs w:val="20"/>
        </w:rPr>
        <w:t>过渡季</w:t>
      </w:r>
      <w:bookmarkEnd w:id="131"/>
      <w:r>
        <w:rPr>
          <w:rFonts w:hint="eastAsia"/>
        </w:rPr>
        <w:t xml:space="preserve"> </w:t>
      </w:r>
    </w:p>
    <w:p>
      <w:pPr>
        <w:pStyle w:val="3"/>
        <w:tabs>
          <w:tab w:val="left" w:pos="426"/>
        </w:tabs>
        <w:ind w:firstLine="420"/>
      </w:pPr>
      <w:r>
        <w:rPr>
          <w:rFonts w:hint="eastAsia"/>
        </w:rPr>
        <w:t>下图为整个计算域内风速分布云图，参考图中速度分布可以对项目中建筑布局进行优化。分析下图，</w:t>
      </w:r>
      <w:bookmarkStart w:id="132" w:name="风速分析结论"/>
      <w:r>
        <w:t>黑色等值线标示出了人行区内风速小于0.2m/s的超限区域，因此未满足绿标要求，需调整建筑布局优化区域内风速分布。</w:t>
      </w:r>
      <w:bookmarkEnd w:id="132"/>
    </w:p>
    <w:p>
      <w:pPr>
        <w:pStyle w:val="3"/>
        <w:spacing w:after="156" w:afterLines="50"/>
        <w:ind w:firstLine="0" w:firstLineChars="0"/>
        <w:jc w:val="center"/>
      </w:pPr>
      <w:bookmarkStart w:id="133" w:name="风速云图"/>
      <w:bookmarkEnd w:id="133"/>
      <w:r>
        <w:drawing>
          <wp:inline distT="0" distB="0" distL="0" distR="0">
            <wp:extent cx="5667375" cy="34861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84"/>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w:t>
      </w:r>
      <w:bookmarkStart w:id="134" w:name="季节7"/>
      <w:r>
        <w:rPr>
          <w:rFonts w:hint="eastAsia" w:ascii="黑体" w:hAnsi="黑体" w:eastAsia="黑体"/>
          <w:sz w:val="20"/>
          <w:szCs w:val="20"/>
        </w:rPr>
        <w:t>过渡季</w:t>
      </w:r>
      <w:bookmarkEnd w:id="134"/>
    </w:p>
    <w:p>
      <w:pPr>
        <w:pStyle w:val="5"/>
      </w:pPr>
      <w:bookmarkStart w:id="135" w:name="_Toc509844761"/>
      <w:bookmarkStart w:id="136" w:name="_Toc92059222"/>
      <w:r>
        <w:rPr>
          <w:rFonts w:hint="eastAsia"/>
        </w:rPr>
        <w:t>旋涡区分析</w:t>
      </w:r>
      <w:bookmarkEnd w:id="135"/>
      <w:bookmarkEnd w:id="136"/>
    </w:p>
    <w:p>
      <w:pPr>
        <w:pStyle w:val="6"/>
      </w:pPr>
      <w:r>
        <w:rPr>
          <w:rFonts w:hint="eastAsia"/>
        </w:rPr>
        <w:t>人行区域</w:t>
      </w:r>
    </w:p>
    <w:p>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旋涡区的空气流运动体现在风速矢量图中，即若干矢量箭头以某位置为中心顺时针或者逆时针旋转呈螺旋状分布。分析下图可知，人行区没有明显的旋涡产生，因此满足绿标要求。</w:t>
      </w:r>
    </w:p>
    <w:p>
      <w:pPr>
        <w:pStyle w:val="3"/>
        <w:ind w:firstLine="0" w:firstLineChars="0"/>
        <w:jc w:val="center"/>
        <w:rPr>
          <w:lang w:val="en-US"/>
        </w:rPr>
      </w:pPr>
      <w:bookmarkStart w:id="137" w:name="人行区风速矢量图"/>
      <w:bookmarkEnd w:id="137"/>
      <w:r>
        <w:drawing>
          <wp:inline distT="0" distB="0" distL="0" distR="0">
            <wp:extent cx="5667375" cy="36195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85"/>
                    <a:stretch>
                      <a:fillRect/>
                    </a:stretch>
                  </pic:blipFill>
                  <pic:spPr>
                    <a:xfrm>
                      <a:off x="0" y="0"/>
                      <a:ext cx="5667375" cy="36195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人行区域-1.5米高度水平面风速矢量图</w:t>
      </w:r>
      <w:r>
        <w:rPr>
          <w:rFonts w:hint="eastAsia"/>
          <w:lang w:val="en-US"/>
        </w:rPr>
        <w:t xml:space="preserve"> </w:t>
      </w:r>
    </w:p>
    <w:p>
      <w:pPr>
        <w:pStyle w:val="3"/>
        <w:tabs>
          <w:tab w:val="left" w:pos="426"/>
        </w:tabs>
        <w:ind w:firstLine="420"/>
        <w:rPr>
          <w:lang w:val="en-US"/>
        </w:rPr>
      </w:pPr>
      <w:r>
        <w:rPr>
          <w:rFonts w:hint="eastAsia"/>
          <w:lang w:val="en-US"/>
        </w:rPr>
        <w:t>下图为计算域内的风速矢量图，分析下图可知，计算域内没有明显的旋涡产生，本项目建筑布局基本合理。</w:t>
      </w:r>
    </w:p>
    <w:p>
      <w:pPr>
        <w:pStyle w:val="3"/>
        <w:ind w:firstLine="0" w:firstLineChars="0"/>
        <w:jc w:val="center"/>
        <w:rPr>
          <w:lang w:val="en-US"/>
        </w:rPr>
      </w:pPr>
      <w:bookmarkStart w:id="138" w:name="风速矢量图"/>
      <w:bookmarkEnd w:id="138"/>
      <w:r>
        <w:drawing>
          <wp:inline distT="0" distB="0" distL="0" distR="0">
            <wp:extent cx="5667375" cy="36671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86"/>
                    <a:stretch>
                      <a:fillRect/>
                    </a:stretch>
                  </pic:blipFill>
                  <pic:spPr>
                    <a:xfrm>
                      <a:off x="0" y="0"/>
                      <a:ext cx="5667375" cy="3667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计算域内-1.5米高度水平面风速矢量图</w:t>
      </w:r>
    </w:p>
    <w:p>
      <w:pPr>
        <w:pStyle w:val="5"/>
      </w:pPr>
      <w:bookmarkStart w:id="139" w:name="_Toc509844762"/>
      <w:bookmarkStart w:id="140" w:name="_Toc92059223"/>
      <w:r>
        <w:rPr>
          <w:rFonts w:hint="eastAsia"/>
        </w:rPr>
        <w:t>人行区域旋涡区/无风区达标判定</w:t>
      </w:r>
      <w:bookmarkEnd w:id="139"/>
      <w:bookmarkEnd w:id="140"/>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41" w:name="季节8"/>
      <w:r>
        <w:rPr>
          <w:rFonts w:hint="eastAsia" w:ascii="黑体" w:hAnsi="黑体" w:eastAsia="黑体"/>
          <w:sz w:val="20"/>
          <w:szCs w:val="20"/>
        </w:rPr>
        <w:t>过渡季</w:t>
      </w:r>
      <w:bookmarkEnd w:id="141"/>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2" w:name="是否有无风区"/>
            <w:r>
              <w:rPr>
                <w:rFonts w:hint="eastAsia" w:ascii="宋体" w:hAnsi="宋体" w:cs="宋体"/>
                <w:color w:val="000000"/>
                <w:sz w:val="22"/>
                <w:szCs w:val="22"/>
                <w:lang w:val="en-US"/>
              </w:rPr>
              <w:t>否</w:t>
            </w:r>
            <w:bookmarkEnd w:id="142"/>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3" w:name="无风区达标判断"/>
            <w:r>
              <w:rPr>
                <w:rFonts w:hint="eastAsia" w:ascii="宋体" w:hAnsi="宋体" w:cs="宋体"/>
                <w:color w:val="000000"/>
                <w:sz w:val="22"/>
                <w:szCs w:val="22"/>
                <w:lang w:val="en-US"/>
              </w:rPr>
              <w:t>是</w:t>
            </w:r>
            <w:bookmarkEnd w:id="143"/>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pPr>
        <w:pStyle w:val="5"/>
      </w:pPr>
      <w:bookmarkStart w:id="144" w:name="_Toc504501018"/>
      <w:bookmarkStart w:id="145" w:name="_Toc509844763"/>
      <w:bookmarkStart w:id="146" w:name="_Toc92059224"/>
      <w:r>
        <w:rPr>
          <w:rFonts w:hint="eastAsia"/>
        </w:rPr>
        <w:t>外窗内外表面风压</w:t>
      </w:r>
      <w:bookmarkEnd w:id="144"/>
      <w:r>
        <w:rPr>
          <w:rFonts w:hint="eastAsia"/>
        </w:rPr>
        <w:t>差达标分析</w:t>
      </w:r>
      <w:bookmarkEnd w:id="145"/>
      <w:bookmarkEnd w:id="146"/>
    </w:p>
    <w:p>
      <w:pPr>
        <w:pStyle w:val="3"/>
        <w:ind w:firstLine="420"/>
      </w:pPr>
      <w:r>
        <w:rPr>
          <w:rFonts w:hint="eastAsia"/>
          <w:lang w:val="en-US"/>
        </w:rPr>
        <w:t>分析《绿色建筑评价标准》，</w:t>
      </w:r>
      <w:bookmarkStart w:id="147" w:name="季节9"/>
      <w:r>
        <w:rPr>
          <w:rFonts w:hint="eastAsia"/>
          <w:lang w:val="en-US"/>
        </w:rPr>
        <w:t>过渡季</w:t>
      </w:r>
      <w:bookmarkEnd w:id="147"/>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48" w:name="迎风面风压云图"/>
      <w:bookmarkEnd w:id="148"/>
      <w:r>
        <w:drawing>
          <wp:inline distT="0" distB="0" distL="0" distR="0">
            <wp:extent cx="5667375" cy="36195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87"/>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9" w:name="季节10"/>
      <w:r>
        <w:rPr>
          <w:rFonts w:hint="eastAsia" w:ascii="黑体" w:hAnsi="黑体" w:eastAsia="黑体"/>
          <w:sz w:val="20"/>
          <w:szCs w:val="20"/>
        </w:rPr>
        <w:t>过渡季</w:t>
      </w:r>
      <w:bookmarkEnd w:id="149"/>
    </w:p>
    <w:p>
      <w:pPr>
        <w:pStyle w:val="13"/>
        <w:jc w:val="center"/>
      </w:pPr>
      <w:bookmarkStart w:id="150" w:name="背风面风压云图"/>
      <w:bookmarkEnd w:id="150"/>
      <w:r>
        <w:drawing>
          <wp:inline distT="0" distB="0" distL="0" distR="0">
            <wp:extent cx="5667375" cy="36385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8"/>
                    <a:stretch>
                      <a:fillRect/>
                    </a:stretch>
                  </pic:blipFill>
                  <pic:spPr>
                    <a:xfrm>
                      <a:off x="0" y="0"/>
                      <a:ext cx="5667375" cy="36385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6</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51" w:name="季节11"/>
      <w:r>
        <w:rPr>
          <w:rFonts w:hint="eastAsia" w:ascii="黑体" w:hAnsi="黑体" w:eastAsia="黑体"/>
          <w:sz w:val="20"/>
          <w:szCs w:val="20"/>
        </w:rPr>
        <w:t>过渡季</w:t>
      </w:r>
      <w:bookmarkEnd w:id="151"/>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DT单体(通风分析)</w:t>
            </w:r>
          </w:p>
        </w:tc>
        <w:tc>
          <w:tcPr>
            <w:tcW w:w="1134" w:type="dxa"/>
            <w:shd w:val="clear" w:color="auto" w:fill="auto"/>
            <w:vAlign w:val="center"/>
          </w:tcPr>
          <w:p>
            <w:pPr>
              <w:jc w:val="center"/>
              <w:rPr>
                <w:lang w:val="en-US"/>
              </w:rPr>
            </w:pPr>
            <w:r>
              <w:rPr>
                <w:lang w:val="en-US"/>
              </w:rPr>
              <w:t>950</w:t>
            </w:r>
          </w:p>
        </w:tc>
        <w:tc>
          <w:tcPr>
            <w:tcW w:w="1984" w:type="dxa"/>
            <w:shd w:val="clear" w:color="auto" w:fill="auto"/>
            <w:vAlign w:val="center"/>
          </w:tcPr>
          <w:p>
            <w:pPr>
              <w:jc w:val="center"/>
              <w:rPr>
                <w:lang w:val="en-US"/>
              </w:rPr>
            </w:pPr>
            <w:r>
              <w:rPr>
                <w:lang w:val="en-US"/>
              </w:rPr>
              <w:t>782</w:t>
            </w:r>
          </w:p>
        </w:tc>
        <w:tc>
          <w:tcPr>
            <w:tcW w:w="1116" w:type="dxa"/>
            <w:shd w:val="clear" w:color="auto" w:fill="auto"/>
            <w:vAlign w:val="center"/>
          </w:tcPr>
          <w:p>
            <w:pPr>
              <w:jc w:val="center"/>
              <w:rPr>
                <w:lang w:val="en-US"/>
              </w:rPr>
            </w:pPr>
            <w:r>
              <w:rPr>
                <w:lang w:val="en-US"/>
              </w:rPr>
              <w:t>82.32</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p>
      <w:pPr>
        <w:rPr>
          <w:lang w:val="en-US"/>
        </w:rPr>
      </w:pPr>
      <w:bookmarkStart w:id="152" w:name="建筑外窗室内外风压差达标判定"/>
      <w:bookmarkEnd w:id="152"/>
    </w:p>
    <w:p/>
    <w:p>
      <w:pPr>
        <w:rPr>
          <w:lang w:val="en-US"/>
        </w:rPr>
      </w:pPr>
      <w:bookmarkStart w:id="153" w:name="建筑室内外风压差达标判定结论"/>
      <w:r>
        <w:rPr>
          <w:rFonts w:hint="eastAsia"/>
          <w:lang w:val="en-US"/>
        </w:rPr>
        <w:t>结论：本项目中所有建筑均满足“50%以上可开启外窗室内外表面的风压差大于0.5Pa”的要求。</w:t>
      </w:r>
      <w:bookmarkEnd w:id="153"/>
      <w:r>
        <w:rPr>
          <w:rFonts w:hint="eastAsia"/>
          <w:lang w:val="en-US"/>
        </w:rPr>
        <w:t xml:space="preserve"> </w:t>
      </w:r>
    </w:p>
    <w:p>
      <w:pPr>
        <w:rPr>
          <w:lang w:val="en-US"/>
        </w:rPr>
      </w:pPr>
      <w:bookmarkStart w:id="154" w:name="其他工况"/>
      <w:bookmarkEnd w:id="154"/>
      <w:r>
        <w:rPr>
          <w:rFonts w:hint="eastAsia"/>
          <w:lang w:val="en-US"/>
        </w:rPr>
        <w:t xml:space="preserve"> </w:t>
      </w:r>
    </w:p>
    <w:p>
      <w:pPr>
        <w:pStyle w:val="4"/>
      </w:pPr>
      <w:bookmarkStart w:id="155" w:name="_Toc92059225"/>
      <w:bookmarkStart w:id="156" w:name="_Toc509844764"/>
      <w:bookmarkStart w:id="179" w:name="_GoBack"/>
      <w:bookmarkEnd w:id="179"/>
      <w:r>
        <w:rPr>
          <w:rFonts w:hint="eastAsia"/>
        </w:rPr>
        <w:t>结论</w:t>
      </w:r>
      <w:bookmarkEnd w:id="155"/>
      <w:bookmarkEnd w:id="156"/>
    </w:p>
    <w:p>
      <w:pPr>
        <w:pStyle w:val="5"/>
      </w:pPr>
      <w:bookmarkStart w:id="157" w:name="_Toc92059226"/>
      <w:bookmarkStart w:id="158" w:name="_Toc509844765"/>
      <w:r>
        <w:rPr>
          <w:rFonts w:hint="eastAsia"/>
        </w:rPr>
        <w:t>冬季工况达标判断</w:t>
      </w:r>
      <w:bookmarkEnd w:id="157"/>
      <w:bookmarkEnd w:id="158"/>
      <w:bookmarkStart w:id="159" w:name="_Toc509844766"/>
      <w:bookmarkEnd w:id="159"/>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得3分；</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w:t>
            </w:r>
            <w:bookmarkStart w:id="160" w:name="冬季风速结果"/>
            <w:r>
              <w:t>没有出现</w:t>
            </w:r>
            <w:bookmarkEnd w:id="160"/>
            <w:r>
              <w:rPr>
                <w:rFonts w:hint="eastAsia"/>
                <w:lang w:val="en-US"/>
              </w:rPr>
              <w:t>风速大于</w:t>
            </w:r>
            <w:r>
              <w:rPr>
                <w:lang w:val="en-US"/>
              </w:rPr>
              <w:t>5m/s</w:t>
            </w:r>
            <w:r>
              <w:rPr>
                <w:rFonts w:hint="eastAsia"/>
                <w:lang w:val="en-US"/>
              </w:rPr>
              <w:t>的区域，户外休息区、儿童娱乐区</w:t>
            </w:r>
            <w:bookmarkStart w:id="161" w:name="冬季风速结果2"/>
            <w:r>
              <w:t>没有出现</w:t>
            </w:r>
            <w:bookmarkEnd w:id="161"/>
            <w:r>
              <w:rPr>
                <w:rFonts w:hint="eastAsia"/>
                <w:lang w:val="en-US"/>
              </w:rPr>
              <w:t>风速大于2m/s的区域</w:t>
            </w:r>
          </w:p>
        </w:tc>
        <w:tc>
          <w:tcPr>
            <w:tcW w:w="1985" w:type="dxa"/>
            <w:vMerge w:val="restart"/>
            <w:tcBorders>
              <w:top w:val="single" w:color="auto" w:sz="4" w:space="0"/>
            </w:tcBorders>
            <w:shd w:val="clear" w:color="auto" w:fill="auto"/>
            <w:vAlign w:val="center"/>
          </w:tcPr>
          <w:p>
            <w:pPr>
              <w:jc w:val="center"/>
              <w:rPr>
                <w:b/>
                <w:lang w:val="en-US"/>
              </w:rPr>
            </w:pPr>
            <w:bookmarkStart w:id="162" w:name="冬季风速达标判定"/>
            <w:r>
              <w:rPr>
                <w:rFonts w:hint="eastAsia"/>
                <w:b/>
                <w:lang w:val="en-US"/>
              </w:rPr>
              <w:t>达标</w:t>
            </w:r>
            <w:bookmarkEnd w:id="162"/>
          </w:p>
        </w:tc>
        <w:tc>
          <w:tcPr>
            <w:tcW w:w="1416" w:type="dxa"/>
            <w:vMerge w:val="restart"/>
            <w:tcBorders>
              <w:top w:val="single" w:color="auto" w:sz="4" w:space="0"/>
            </w:tcBorders>
            <w:shd w:val="clear" w:color="auto" w:fill="auto"/>
            <w:vAlign w:val="center"/>
          </w:tcPr>
          <w:p>
            <w:pPr>
              <w:jc w:val="center"/>
              <w:rPr>
                <w:lang w:val="en-US"/>
              </w:rPr>
            </w:pPr>
            <w:bookmarkStart w:id="163" w:name="冬季风速得分"/>
            <w:r>
              <w:rPr>
                <w:rFonts w:hint="eastAsia"/>
                <w:lang w:val="en-US"/>
              </w:rPr>
              <w:t>3</w:t>
            </w:r>
            <w:bookmarkEnd w:id="163"/>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w:t>
            </w:r>
            <w:bookmarkStart w:id="164" w:name="冬季风速放大系数结果"/>
            <w:r>
              <w:t>没有出现</w:t>
            </w:r>
            <w:bookmarkEnd w:id="164"/>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除迎风第一排建筑外，建筑迎风面与背风面表面风压差不超过5Pa，得2分</w:t>
            </w:r>
          </w:p>
        </w:tc>
        <w:tc>
          <w:tcPr>
            <w:tcW w:w="1985" w:type="dxa"/>
            <w:shd w:val="clear" w:color="auto" w:fill="auto"/>
            <w:vAlign w:val="center"/>
          </w:tcPr>
          <w:p>
            <w:pPr>
              <w:jc w:val="center"/>
              <w:rPr>
                <w:lang w:val="en-US"/>
              </w:rPr>
            </w:pPr>
            <w:r>
              <w:rPr>
                <w:rFonts w:hint="eastAsia"/>
                <w:lang w:val="en-US"/>
              </w:rPr>
              <w:t>本项目</w:t>
            </w:r>
            <w:bookmarkStart w:id="165" w:name="冬季迎背风面结果"/>
            <w:r>
              <w:t>没有出现</w:t>
            </w:r>
            <w:bookmarkEnd w:id="165"/>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66" w:name="冬季迎背风面达标判定"/>
            <w:r>
              <w:rPr>
                <w:rFonts w:hint="eastAsia"/>
                <w:b/>
                <w:lang w:val="en-US"/>
              </w:rPr>
              <w:t>达标</w:t>
            </w:r>
            <w:bookmarkEnd w:id="166"/>
          </w:p>
        </w:tc>
        <w:tc>
          <w:tcPr>
            <w:tcW w:w="1416" w:type="dxa"/>
            <w:shd w:val="clear" w:color="auto" w:fill="auto"/>
            <w:vAlign w:val="center"/>
          </w:tcPr>
          <w:p>
            <w:pPr>
              <w:jc w:val="center"/>
              <w:rPr>
                <w:lang w:val="en-US"/>
              </w:rPr>
            </w:pPr>
            <w:bookmarkStart w:id="167" w:name="冬季迎背风面得分"/>
            <w:r>
              <w:rPr>
                <w:rFonts w:hint="eastAsia"/>
                <w:lang w:val="en-US"/>
              </w:rPr>
              <w:t>2</w:t>
            </w:r>
            <w:bookmarkEnd w:id="167"/>
            <w:r>
              <w:rPr>
                <w:rFonts w:hint="eastAsia"/>
                <w:lang w:val="en-US"/>
              </w:rPr>
              <w:t>分</w:t>
            </w:r>
          </w:p>
        </w:tc>
      </w:tr>
    </w:tbl>
    <w:p>
      <w:pPr>
        <w:rPr>
          <w:szCs w:val="21"/>
          <w:lang w:val="en-US"/>
        </w:rPr>
      </w:pPr>
    </w:p>
    <w:p>
      <w:pPr>
        <w:pStyle w:val="5"/>
      </w:pPr>
      <w:bookmarkStart w:id="168" w:name="_Toc509844767"/>
      <w:bookmarkEnd w:id="168"/>
      <w:bookmarkStart w:id="169" w:name="_Toc509844768"/>
      <w:bookmarkEnd w:id="169"/>
      <w:bookmarkStart w:id="170" w:name="_Toc509844769"/>
      <w:bookmarkStart w:id="171" w:name="_Toc92059227"/>
      <w:r>
        <w:rPr>
          <w:rFonts w:hint="eastAsia"/>
        </w:rPr>
        <w:t>过渡季、夏季工况达标判断</w:t>
      </w:r>
      <w:bookmarkEnd w:id="170"/>
      <w:bookmarkEnd w:id="171"/>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，得3分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w:t>
            </w:r>
            <w:bookmarkStart w:id="172" w:name="夏季无风区结果"/>
            <w:r>
              <w:rPr>
                <w:rFonts w:hint="eastAsia"/>
                <w:lang w:val="en-US"/>
              </w:rPr>
              <w:t>无</w:t>
            </w:r>
            <w:bookmarkEnd w:id="172"/>
            <w:r>
              <w:rPr>
                <w:rFonts w:hint="eastAsia"/>
                <w:lang w:val="en-US"/>
              </w:rPr>
              <w:t>无风区</w:t>
            </w:r>
          </w:p>
        </w:tc>
        <w:tc>
          <w:tcPr>
            <w:tcW w:w="1985" w:type="dxa"/>
            <w:vMerge w:val="restart"/>
            <w:tcBorders>
              <w:top w:val="single" w:color="auto" w:sz="4" w:space="0"/>
            </w:tcBorders>
            <w:shd w:val="clear" w:color="auto" w:fill="auto"/>
            <w:vAlign w:val="center"/>
          </w:tcPr>
          <w:p>
            <w:pPr>
              <w:jc w:val="center"/>
              <w:rPr>
                <w:lang w:val="en-US"/>
              </w:rPr>
            </w:pPr>
            <w:bookmarkStart w:id="173" w:name="夏季无风区达标判定"/>
            <w:r>
              <w:rPr>
                <w:rFonts w:hint="eastAsia"/>
                <w:b/>
                <w:lang w:val="en-US"/>
              </w:rPr>
              <w:t>达标</w:t>
            </w:r>
            <w:bookmarkEnd w:id="173"/>
          </w:p>
        </w:tc>
        <w:tc>
          <w:tcPr>
            <w:tcW w:w="1416" w:type="dxa"/>
            <w:vMerge w:val="restart"/>
            <w:tcBorders>
              <w:top w:val="single" w:color="auto" w:sz="4" w:space="0"/>
            </w:tcBorders>
            <w:shd w:val="clear" w:color="auto" w:fill="auto"/>
            <w:vAlign w:val="center"/>
          </w:tcPr>
          <w:p>
            <w:pPr>
              <w:jc w:val="center"/>
              <w:rPr>
                <w:lang w:val="en-US"/>
              </w:rPr>
            </w:pPr>
            <w:bookmarkStart w:id="174" w:name="夏季无风区得分"/>
            <w:r>
              <w:rPr>
                <w:rFonts w:hint="eastAsia"/>
                <w:lang w:val="en-US"/>
              </w:rPr>
              <w:t>3</w:t>
            </w:r>
            <w:bookmarkEnd w:id="174"/>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，得2分。</w:t>
            </w:r>
          </w:p>
        </w:tc>
        <w:tc>
          <w:tcPr>
            <w:tcW w:w="1985" w:type="dxa"/>
            <w:shd w:val="clear" w:color="auto" w:fill="auto"/>
            <w:vAlign w:val="center"/>
          </w:tcPr>
          <w:p>
            <w:pPr>
              <w:jc w:val="center"/>
              <w:rPr>
                <w:lang w:val="en-US"/>
              </w:rPr>
            </w:pPr>
            <w:r>
              <w:rPr>
                <w:rFonts w:hint="eastAsia"/>
                <w:b/>
                <w:lang w:val="en-US"/>
              </w:rPr>
              <w:t>可开启外窗室内外表面的风压差</w:t>
            </w:r>
            <w:bookmarkStart w:id="175" w:name="夏季窗内外风压差结果"/>
            <w:r>
              <w:rPr>
                <w:rFonts w:hint="eastAsia"/>
                <w:lang w:val="en-US"/>
              </w:rPr>
              <w:t>满足</w:t>
            </w:r>
            <w:bookmarkEnd w:id="175"/>
            <w:r>
              <w:rPr>
                <w:rFonts w:hint="eastAsia"/>
                <w:lang w:val="en-US"/>
              </w:rPr>
              <w:t>标准要求</w:t>
            </w:r>
          </w:p>
        </w:tc>
        <w:tc>
          <w:tcPr>
            <w:tcW w:w="1985" w:type="dxa"/>
            <w:shd w:val="clear" w:color="auto" w:fill="auto"/>
            <w:vAlign w:val="center"/>
          </w:tcPr>
          <w:p>
            <w:pPr>
              <w:jc w:val="center"/>
              <w:rPr>
                <w:b/>
                <w:lang w:val="en-US"/>
              </w:rPr>
            </w:pPr>
            <w:bookmarkStart w:id="176" w:name="夏季窗内外风压差达标判定"/>
            <w:r>
              <w:rPr>
                <w:rFonts w:hint="eastAsia"/>
                <w:b/>
                <w:lang w:val="en-US"/>
              </w:rPr>
              <w:t>达标</w:t>
            </w:r>
            <w:bookmarkEnd w:id="176"/>
          </w:p>
        </w:tc>
        <w:tc>
          <w:tcPr>
            <w:tcW w:w="1416" w:type="dxa"/>
            <w:shd w:val="clear" w:color="auto" w:fill="auto"/>
            <w:vAlign w:val="center"/>
          </w:tcPr>
          <w:p>
            <w:pPr>
              <w:jc w:val="center"/>
              <w:rPr>
                <w:lang w:val="en-US"/>
              </w:rPr>
            </w:pPr>
            <w:bookmarkStart w:id="177" w:name="夏季窗内外风压差得分"/>
            <w:r>
              <w:rPr>
                <w:rFonts w:hint="eastAsia"/>
                <w:lang w:val="en-US"/>
              </w:rPr>
              <w:t>2</w:t>
            </w:r>
            <w:bookmarkEnd w:id="177"/>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178" w:name="总得分"/>
      <w:r>
        <w:rPr>
          <w:rFonts w:hint="eastAsia"/>
          <w:lang w:val="en-US"/>
        </w:rPr>
        <w:t>10</w:t>
      </w:r>
      <w:bookmarkEnd w:id="178"/>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ENT2020</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E48"/>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1E48"/>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C4B35"/>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4BB7"/>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 w:val="5DCB2306"/>
    <w:rsid w:val="602A53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uiPriority w:val="39"/>
    <w:pPr>
      <w:tabs>
        <w:tab w:val="left" w:leader="dot" w:pos="180"/>
        <w:tab w:val="left" w:pos="420"/>
        <w:tab w:val="right" w:leader="dot" w:pos="9360"/>
      </w:tabs>
    </w:pPr>
    <w:rPr>
      <w:b/>
      <w:bCs/>
      <w:kern w:val="2"/>
      <w:szCs w:val="24"/>
      <w:lang w:val="en-US"/>
    </w:rPr>
  </w:style>
  <w:style w:type="paragraph" w:styleId="20">
    <w:name w:val="toc 2"/>
    <w:basedOn w:val="1"/>
    <w:next w:val="1"/>
    <w:qFormat/>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customXml" Target="../customXml/item2.xml"/><Relationship Id="rId90" Type="http://schemas.openxmlformats.org/officeDocument/2006/relationships/numbering" Target="numbering.xml"/><Relationship Id="rId9" Type="http://schemas.openxmlformats.org/officeDocument/2006/relationships/image" Target="media/image2.bmp"/><Relationship Id="rId89" Type="http://schemas.openxmlformats.org/officeDocument/2006/relationships/customXml" Target="../customXml/item1.xml"/><Relationship Id="rId88" Type="http://schemas.openxmlformats.org/officeDocument/2006/relationships/image" Target="media/image74.png"/><Relationship Id="rId87" Type="http://schemas.openxmlformats.org/officeDocument/2006/relationships/image" Target="media/image73.png"/><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AppData\Local\Temp\tmp2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04F88-87BB-429C-B5FB-EE09E69A1663}">
  <ds:schemaRefs/>
</ds:datastoreItem>
</file>

<file path=docProps/app.xml><?xml version="1.0" encoding="utf-8"?>
<Properties xmlns="http://schemas.openxmlformats.org/officeDocument/2006/extended-properties" xmlns:vt="http://schemas.openxmlformats.org/officeDocument/2006/docPropsVTypes">
  <Template>tmp23</Template>
  <Company>ths</Company>
  <Pages>1</Pages>
  <Words>2228</Words>
  <Characters>12703</Characters>
  <Lines>105</Lines>
  <Paragraphs>29</Paragraphs>
  <TotalTime>0</TotalTime>
  <ScaleCrop>false</ScaleCrop>
  <LinksUpToDate>false</LinksUpToDate>
  <CharactersWithSpaces>14902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2022-01-02T15:39:00Z</dcterms:created>
  <dc:creator>jg</dc:creator>
  <cp:lastModifiedBy>jg</cp:lastModifiedBy>
  <cp:lastPrinted>1900-12-31T16:00:00Z</cp:lastPrinted>
  <dcterms:modified xsi:type="dcterms:W3CDTF">2022-01-04T06:34:16Z</dcterms:modified>
  <dc:title>室外风环境模拟分析报告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C1B14D7328BF4032A2606B9EFBF3C339</vt:lpwstr>
  </property>
</Properties>
</file>