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default" w:ascii="宋体" w:hAnsi="宋体" w:eastAsia="宋体"/>
                <w:szCs w:val="21"/>
                <w:lang w:val="en-US" w:eastAsia="zh-CN"/>
              </w:rPr>
            </w:pPr>
            <w:bookmarkStart w:id="0" w:name="工程名称"/>
            <w:bookmarkEnd w:id="0"/>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hint="default" w:ascii="宋体" w:hAnsi="宋体" w:eastAsia="宋体"/>
                <w:szCs w:val="21"/>
                <w:lang w:val="en-US" w:eastAsia="zh-CN"/>
              </w:rPr>
            </w:pPr>
            <w:bookmarkStart w:id="1" w:name="设计编号"/>
            <w:bookmarkEnd w:id="1"/>
            <w:r>
              <w:rPr>
                <w:rFonts w:hint="eastAsia" w:ascii="宋体" w:hAnsi="宋体"/>
                <w:szCs w:val="21"/>
                <w:lang w:val="en-US" w:eastAsia="zh-CN"/>
              </w:rPr>
              <w:t>GZ40057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hint="default" w:ascii="宋体" w:hAnsi="宋体" w:eastAsia="宋体"/>
                <w:szCs w:val="21"/>
                <w:lang w:val="en-US" w:eastAsia="zh-CN"/>
              </w:rPr>
            </w:pPr>
            <w:bookmarkStart w:id="2" w:name="建设单位"/>
            <w:bookmarkEnd w:id="2"/>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hint="default" w:ascii="宋体" w:hAnsi="宋体" w:eastAsia="宋体"/>
                <w:szCs w:val="21"/>
                <w:lang w:val="en-US" w:eastAsia="zh-CN"/>
              </w:rPr>
            </w:pPr>
            <w:bookmarkStart w:id="3" w:name="设计单位"/>
            <w:bookmarkEnd w:id="3"/>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hint="default" w:ascii="宋体" w:hAnsi="宋体" w:eastAsia="宋体"/>
                <w:szCs w:val="21"/>
                <w:lang w:val="en-US" w:eastAsia="zh-CN"/>
              </w:rPr>
            </w:pPr>
            <w:bookmarkStart w:id="4" w:name="报告日期"/>
            <w:bookmarkEnd w:id="4"/>
            <w:r>
              <w:rPr>
                <w:rFonts w:hint="eastAsia" w:ascii="宋体" w:hAnsi="宋体"/>
                <w:szCs w:val="21"/>
                <w:lang w:val="en-US" w:eastAsia="zh-CN"/>
              </w:rPr>
              <w:t>XXXX年XX月XX日</w:t>
            </w:r>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20200505(SP1)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T13555626841</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_Toc18096 </w:instrText>
      </w:r>
      <w:r>
        <w:rPr>
          <w:rFonts w:ascii="宋体" w:hAnsi="宋体"/>
          <w:bCs w:val="0"/>
          <w:caps/>
        </w:rPr>
        <w:fldChar w:fldCharType="separate"/>
      </w:r>
      <w:r>
        <w:rPr>
          <w:rFonts w:hint="eastAsia"/>
        </w:rPr>
        <w:t>1 住区概况</w:t>
      </w:r>
      <w:r>
        <w:tab/>
      </w:r>
      <w:r>
        <w:fldChar w:fldCharType="begin"/>
      </w:r>
      <w:r>
        <w:instrText xml:space="preserve"> PAGEREF _Toc18096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_Toc6009 </w:instrText>
      </w:r>
      <w:r>
        <w:fldChar w:fldCharType="separate"/>
      </w:r>
      <w:r>
        <w:rPr>
          <w:rFonts w:hint="eastAsia"/>
        </w:rPr>
        <w:t>2 标准依据</w:t>
      </w:r>
      <w:r>
        <w:tab/>
      </w:r>
      <w:r>
        <w:fldChar w:fldCharType="begin"/>
      </w:r>
      <w:r>
        <w:instrText xml:space="preserve"> PAGEREF _Toc6009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_Toc23777 </w:instrText>
      </w:r>
      <w:r>
        <w:fldChar w:fldCharType="separate"/>
      </w:r>
      <w:r>
        <w:rPr>
          <w:rFonts w:hint="eastAsia"/>
        </w:rPr>
        <w:t>3 计算方法</w:t>
      </w:r>
      <w:r>
        <w:tab/>
      </w:r>
      <w:r>
        <w:fldChar w:fldCharType="begin"/>
      </w:r>
      <w:r>
        <w:instrText xml:space="preserve"> PAGEREF _Toc23777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_Toc13326 </w:instrText>
      </w:r>
      <w:r>
        <w:fldChar w:fldCharType="separate"/>
      </w:r>
      <w:r>
        <w:rPr>
          <w:rFonts w:hint="eastAsia"/>
        </w:rPr>
        <w:t>4 计算参数</w:t>
      </w:r>
      <w:r>
        <w:tab/>
      </w:r>
      <w:r>
        <w:fldChar w:fldCharType="begin"/>
      </w:r>
      <w:r>
        <w:instrText xml:space="preserve"> PAGEREF _Toc13326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_Toc3146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_Toc3146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_Toc11900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_Toc11900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_Toc15011 </w:instrText>
      </w:r>
      <w:r>
        <w:fldChar w:fldCharType="separate"/>
      </w:r>
      <w:r>
        <w:rPr>
          <w:rFonts w:hint="eastAsia"/>
        </w:rPr>
        <w:t>5 指标概览</w:t>
      </w:r>
      <w:r>
        <w:tab/>
      </w:r>
      <w:r>
        <w:fldChar w:fldCharType="begin"/>
      </w:r>
      <w:r>
        <w:instrText xml:space="preserve"> PAGEREF _Toc15011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_Toc9126 </w:instrText>
      </w:r>
      <w:r>
        <w:fldChar w:fldCharType="separate"/>
      </w:r>
      <w:r>
        <w:rPr>
          <w:rFonts w:hint="eastAsia"/>
          <w:lang w:val="en-GB"/>
        </w:rPr>
        <w:t xml:space="preserve">5.1 </w:t>
      </w:r>
      <w:r>
        <w:rPr>
          <w:rFonts w:hint="eastAsia"/>
        </w:rPr>
        <w:t>建筑列表</w:t>
      </w:r>
      <w:r>
        <w:tab/>
      </w:r>
      <w:r>
        <w:fldChar w:fldCharType="begin"/>
      </w:r>
      <w:r>
        <w:instrText xml:space="preserve"> PAGEREF _Toc9126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_Toc20264 </w:instrText>
      </w:r>
      <w:r>
        <w:fldChar w:fldCharType="separate"/>
      </w:r>
      <w:r>
        <w:rPr>
          <w:rFonts w:hint="eastAsia"/>
          <w:lang w:val="en-GB"/>
        </w:rPr>
        <w:t xml:space="preserve">5.2 </w:t>
      </w:r>
      <w:r>
        <w:rPr>
          <w:rFonts w:hint="eastAsia"/>
        </w:rPr>
        <w:t>住区指标</w:t>
      </w:r>
      <w:r>
        <w:tab/>
      </w:r>
      <w:r>
        <w:fldChar w:fldCharType="begin"/>
      </w:r>
      <w:r>
        <w:instrText xml:space="preserve"> PAGEREF _Toc20264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_Toc11314 </w:instrText>
      </w:r>
      <w:r>
        <w:fldChar w:fldCharType="separate"/>
      </w:r>
      <w:r>
        <w:rPr>
          <w:rFonts w:hint="eastAsia"/>
        </w:rPr>
        <w:t>6 计算结果</w:t>
      </w:r>
      <w:r>
        <w:tab/>
      </w:r>
      <w:r>
        <w:fldChar w:fldCharType="begin"/>
      </w:r>
      <w:r>
        <w:instrText xml:space="preserve"> PAGEREF _Toc11314 \h </w:instrText>
      </w:r>
      <w:r>
        <w:fldChar w:fldCharType="separate"/>
      </w:r>
      <w:r>
        <w:t>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18096"/>
      <w:r>
        <w:rPr>
          <w:rFonts w:hint="eastAsia"/>
        </w:rPr>
        <w:t>住区概况</w:t>
      </w:r>
      <w:bookmarkEnd w:id="10"/>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1" w:name="工程名称1"/>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2" w:name="工程地点"/>
            <w:r>
              <w:t>广州</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23.13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113.23</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IVA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东南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6009"/>
      <w:bookmarkStart w:id="22" w:name="TitleFormat"/>
      <w:r>
        <w:rPr>
          <w:rFonts w:hint="eastAsia"/>
        </w:rPr>
        <w:t>标准依据</w:t>
      </w:r>
      <w:bookmarkEnd w:id="21"/>
    </w:p>
    <w:bookmarkEnd w:id="22"/>
    <w:p>
      <w:pPr>
        <w:widowControl w:val="0"/>
        <w:spacing w:line="360" w:lineRule="auto"/>
        <w:ind w:firstLine="420"/>
        <w:jc w:val="both"/>
        <w:rPr>
          <w:sz w:val="18"/>
          <w:lang w:val="en-US"/>
        </w:rPr>
      </w:pPr>
      <w:bookmarkStart w:id="23" w:name="计算依据"/>
      <w:bookmarkEnd w:id="23"/>
      <w:r>
        <w:rPr>
          <w:rFonts w:hint="eastAsia"/>
          <w:kern w:val="2"/>
          <w:szCs w:val="24"/>
          <w:lang w:val="en-US"/>
        </w:rPr>
        <w:t>《城市居住区热环境设计标准》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4" w:name="_Toc23777"/>
      <w:r>
        <w:rPr>
          <w:rFonts w:hint="eastAsia"/>
        </w:rPr>
        <w:t>计算方法</w:t>
      </w:r>
      <w:bookmarkEnd w:id="24"/>
    </w:p>
    <w:p>
      <w:pPr>
        <w:pStyle w:val="3"/>
        <w:spacing w:line="360" w:lineRule="auto"/>
        <w:ind w:firstLine="420"/>
        <w:rPr>
          <w:lang w:val="en-US"/>
        </w:rPr>
      </w:pPr>
      <w:bookmarkStart w:id="25" w:name="计算方法"/>
      <w:bookmarkEnd w:id="25"/>
      <w:r>
        <w:rPr>
          <w:rFonts w:hint="eastAsia"/>
          <w:lang w:val="en-US"/>
        </w:rPr>
        <w:t>依据《城市居住区热环境设计标准》</w:t>
      </w:r>
      <w:r>
        <w:rPr>
          <w:kern w:val="2"/>
          <w:szCs w:val="24"/>
          <w:lang w:val="en-US"/>
        </w:rPr>
        <w:t>JGJ</w:t>
      </w:r>
      <w:r>
        <w:rPr>
          <w:rFonts w:hint="eastAsia"/>
          <w:kern w:val="2"/>
          <w:szCs w:val="24"/>
          <w:lang w:val="en-US"/>
        </w:rPr>
        <w:t xml:space="preserve"> </w:t>
      </w:r>
      <w:r>
        <w:rPr>
          <w:kern w:val="2"/>
          <w:szCs w:val="24"/>
          <w:lang w:val="en-US"/>
        </w:rPr>
        <w:t>286-2013</w:t>
      </w:r>
      <w:r>
        <w:rPr>
          <w:rFonts w:hint="eastAsia"/>
          <w:lang w:val="en-US"/>
        </w:rPr>
        <w:t>，采用CTTC集总参数模型进行计算。计算公式如下：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35pt;width:26.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35pt;width:44.8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35pt;width:12.9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35pt;width:11.5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35pt;width:12.9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4pt;width:199.7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pt;width:29.9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35pt;width:38.0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35pt;width:36.7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35pt;width:36.7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55pt;width:9.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6" w:name="_Toc13326"/>
      <w:r>
        <w:rPr>
          <w:rFonts w:hint="eastAsia"/>
        </w:rPr>
        <w:t>计算参数</w:t>
      </w:r>
      <w:bookmarkEnd w:id="26"/>
    </w:p>
    <w:p>
      <w:pPr>
        <w:pStyle w:val="4"/>
      </w:pPr>
      <w:bookmarkStart w:id="39" w:name="_GoBack"/>
      <w:bookmarkEnd w:id="39"/>
      <w:bookmarkStart w:id="27" w:name="_Toc3146"/>
      <w:r>
        <w:rPr>
          <w:rFonts w:hint="eastAsia"/>
        </w:rPr>
        <w:t>典型气象日气象参数</w:t>
      </w:r>
      <w:bookmarkEnd w:id="2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26.2</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restart"/>
            <w:vAlign w:val="center"/>
          </w:tcPr>
          <w:p>
            <w:pPr>
              <w:jc w:val="center"/>
            </w:pPr>
            <w:r>
              <w:t>东南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26.1</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26.1</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0.3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26.1</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26.3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26.6</w:t>
            </w:r>
          </w:p>
        </w:tc>
        <w:tc>
          <w:tcPr>
            <w:vAlign w:val="center"/>
          </w:tcPr>
          <w:p>
            <w:pPr>
              <w:jc w:val="center"/>
            </w:pPr>
            <w:r>
              <w:t>82</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27.0</w:t>
            </w:r>
          </w:p>
        </w:tc>
        <w:tc>
          <w:tcPr>
            <w:vAlign w:val="center"/>
          </w:tcPr>
          <w:p>
            <w:pPr>
              <w:jc w:val="center"/>
            </w:pPr>
            <w:r>
              <w:t>80</w:t>
            </w:r>
          </w:p>
        </w:tc>
        <w:tc>
          <w:tcPr>
            <w:vAlign w:val="center"/>
          </w:tcPr>
          <w:p>
            <w:pPr>
              <w:jc w:val="center"/>
            </w:pPr>
            <w:r>
              <w:t>38.89</w:t>
            </w:r>
          </w:p>
        </w:tc>
        <w:tc>
          <w:tcPr>
            <w:vAlign w:val="center"/>
          </w:tcPr>
          <w:p>
            <w:pPr>
              <w:jc w:val="center"/>
            </w:pPr>
            <w:r>
              <w:t>33.33</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27.5</w:t>
            </w:r>
          </w:p>
        </w:tc>
        <w:tc>
          <w:tcPr>
            <w:vAlign w:val="center"/>
          </w:tcPr>
          <w:p>
            <w:pPr>
              <w:jc w:val="center"/>
            </w:pPr>
            <w:r>
              <w:t>77</w:t>
            </w:r>
          </w:p>
        </w:tc>
        <w:tc>
          <w:tcPr>
            <w:vAlign w:val="center"/>
          </w:tcPr>
          <w:p>
            <w:pPr>
              <w:jc w:val="center"/>
            </w:pPr>
            <w:r>
              <w:t>122.22</w:t>
            </w:r>
          </w:p>
        </w:tc>
        <w:tc>
          <w:tcPr>
            <w:vAlign w:val="center"/>
          </w:tcPr>
          <w:p>
            <w:pPr>
              <w:jc w:val="center"/>
            </w:pPr>
            <w:r>
              <w:t>86.11</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28.2</w:t>
            </w:r>
          </w:p>
        </w:tc>
        <w:tc>
          <w:tcPr>
            <w:vAlign w:val="center"/>
          </w:tcPr>
          <w:p>
            <w:pPr>
              <w:jc w:val="center"/>
            </w:pPr>
            <w:r>
              <w:t>74</w:t>
            </w:r>
          </w:p>
        </w:tc>
        <w:tc>
          <w:tcPr>
            <w:vAlign w:val="center"/>
          </w:tcPr>
          <w:p>
            <w:pPr>
              <w:jc w:val="center"/>
            </w:pPr>
            <w:r>
              <w:t>216.67</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29.0</w:t>
            </w:r>
          </w:p>
        </w:tc>
        <w:tc>
          <w:tcPr>
            <w:vAlign w:val="center"/>
          </w:tcPr>
          <w:p>
            <w:pPr>
              <w:jc w:val="center"/>
            </w:pPr>
            <w:r>
              <w:t>71</w:t>
            </w:r>
          </w:p>
        </w:tc>
        <w:tc>
          <w:tcPr>
            <w:vAlign w:val="center"/>
          </w:tcPr>
          <w:p>
            <w:pPr>
              <w:jc w:val="center"/>
            </w:pPr>
            <w:r>
              <w:t>308.33</w:t>
            </w:r>
          </w:p>
        </w:tc>
        <w:tc>
          <w:tcPr>
            <w:vAlign w:val="center"/>
          </w:tcPr>
          <w:p>
            <w:pPr>
              <w:jc w:val="center"/>
            </w:pPr>
            <w:r>
              <w:t>172.22</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29.7</w:t>
            </w:r>
          </w:p>
        </w:tc>
        <w:tc>
          <w:tcPr>
            <w:vAlign w:val="center"/>
          </w:tcPr>
          <w:p>
            <w:pPr>
              <w:jc w:val="center"/>
            </w:pPr>
            <w:r>
              <w:t>68</w:t>
            </w:r>
          </w:p>
        </w:tc>
        <w:tc>
          <w:tcPr>
            <w:vAlign w:val="center"/>
          </w:tcPr>
          <w:p>
            <w:pPr>
              <w:jc w:val="center"/>
            </w:pPr>
            <w:r>
              <w:t>388.89</w:t>
            </w:r>
          </w:p>
        </w:tc>
        <w:tc>
          <w:tcPr>
            <w:vAlign w:val="center"/>
          </w:tcPr>
          <w:p>
            <w:pPr>
              <w:jc w:val="center"/>
            </w:pPr>
            <w:r>
              <w:t>202.78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30.4</w:t>
            </w:r>
          </w:p>
        </w:tc>
        <w:tc>
          <w:tcPr>
            <w:vAlign w:val="center"/>
          </w:tcPr>
          <w:p>
            <w:pPr>
              <w:jc w:val="center"/>
            </w:pPr>
            <w:r>
              <w:t>66</w:t>
            </w:r>
          </w:p>
        </w:tc>
        <w:tc>
          <w:tcPr>
            <w:vAlign w:val="center"/>
          </w:tcPr>
          <w:p>
            <w:pPr>
              <w:jc w:val="center"/>
            </w:pPr>
            <w:r>
              <w:t>444.44</w:t>
            </w:r>
          </w:p>
        </w:tc>
        <w:tc>
          <w:tcPr>
            <w:vAlign w:val="center"/>
          </w:tcPr>
          <w:p>
            <w:pPr>
              <w:jc w:val="center"/>
            </w:pPr>
            <w:r>
              <w:t>225.00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30.9</w:t>
            </w:r>
          </w:p>
        </w:tc>
        <w:tc>
          <w:tcPr>
            <w:vAlign w:val="center"/>
          </w:tcPr>
          <w:p>
            <w:pPr>
              <w:jc w:val="center"/>
            </w:pPr>
            <w:r>
              <w:t>65</w:t>
            </w:r>
          </w:p>
        </w:tc>
        <w:tc>
          <w:tcPr>
            <w:vAlign w:val="center"/>
          </w:tcPr>
          <w:p>
            <w:pPr>
              <w:jc w:val="center"/>
            </w:pPr>
            <w:r>
              <w:t>466.67</w:t>
            </w:r>
          </w:p>
        </w:tc>
        <w:tc>
          <w:tcPr>
            <w:vAlign w:val="center"/>
          </w:tcPr>
          <w:p>
            <w:pPr>
              <w:jc w:val="center"/>
            </w:pPr>
            <w:r>
              <w:t>233.33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31.1</w:t>
            </w:r>
          </w:p>
        </w:tc>
        <w:tc>
          <w:tcPr>
            <w:vAlign w:val="center"/>
          </w:tcPr>
          <w:p>
            <w:pPr>
              <w:jc w:val="center"/>
            </w:pPr>
            <w:r>
              <w:t>64</w:t>
            </w:r>
          </w:p>
        </w:tc>
        <w:tc>
          <w:tcPr>
            <w:vAlign w:val="center"/>
          </w:tcPr>
          <w:p>
            <w:pPr>
              <w:jc w:val="center"/>
            </w:pPr>
            <w:r>
              <w:t>450.00</w:t>
            </w:r>
          </w:p>
        </w:tc>
        <w:tc>
          <w:tcPr>
            <w:vAlign w:val="center"/>
          </w:tcPr>
          <w:p>
            <w:pPr>
              <w:jc w:val="center"/>
            </w:pPr>
            <w:r>
              <w:t>227.78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31.0</w:t>
            </w:r>
          </w:p>
        </w:tc>
        <w:tc>
          <w:tcPr>
            <w:vAlign w:val="center"/>
          </w:tcPr>
          <w:p>
            <w:pPr>
              <w:jc w:val="center"/>
            </w:pPr>
            <w:r>
              <w:t>65</w:t>
            </w:r>
          </w:p>
        </w:tc>
        <w:tc>
          <w:tcPr>
            <w:vAlign w:val="center"/>
          </w:tcPr>
          <w:p>
            <w:pPr>
              <w:jc w:val="center"/>
            </w:pPr>
            <w:r>
              <w:t>397.22</w:t>
            </w:r>
          </w:p>
        </w:tc>
        <w:tc>
          <w:tcPr>
            <w:vAlign w:val="center"/>
          </w:tcPr>
          <w:p>
            <w:pPr>
              <w:jc w:val="center"/>
            </w:pPr>
            <w:r>
              <w:t>208.33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30.7</w:t>
            </w:r>
          </w:p>
        </w:tc>
        <w:tc>
          <w:tcPr>
            <w:vAlign w:val="center"/>
          </w:tcPr>
          <w:p>
            <w:pPr>
              <w:jc w:val="center"/>
            </w:pPr>
            <w:r>
              <w:t>66</w:t>
            </w:r>
          </w:p>
        </w:tc>
        <w:tc>
          <w:tcPr>
            <w:vAlign w:val="center"/>
          </w:tcPr>
          <w:p>
            <w:pPr>
              <w:jc w:val="center"/>
            </w:pPr>
            <w:r>
              <w:t>319.44</w:t>
            </w:r>
          </w:p>
        </w:tc>
        <w:tc>
          <w:tcPr>
            <w:vAlign w:val="center"/>
          </w:tcPr>
          <w:p>
            <w:pPr>
              <w:jc w:val="center"/>
            </w:pPr>
            <w:r>
              <w:t>175.00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30.1</w:t>
            </w:r>
          </w:p>
        </w:tc>
        <w:tc>
          <w:tcPr>
            <w:vAlign w:val="center"/>
          </w:tcPr>
          <w:p>
            <w:pPr>
              <w:jc w:val="center"/>
            </w:pPr>
            <w:r>
              <w:t>68</w:t>
            </w:r>
          </w:p>
        </w:tc>
        <w:tc>
          <w:tcPr>
            <w:vAlign w:val="center"/>
          </w:tcPr>
          <w:p>
            <w:pPr>
              <w:jc w:val="center"/>
            </w:pPr>
            <w:r>
              <w:t>225.00</w:t>
            </w:r>
          </w:p>
        </w:tc>
        <w:tc>
          <w:tcPr>
            <w:vAlign w:val="center"/>
          </w:tcPr>
          <w:p>
            <w:pPr>
              <w:jc w:val="center"/>
            </w:pPr>
            <w:r>
              <w:t>133.33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29.4</w:t>
            </w:r>
          </w:p>
        </w:tc>
        <w:tc>
          <w:tcPr>
            <w:vAlign w:val="center"/>
          </w:tcPr>
          <w:p>
            <w:pPr>
              <w:jc w:val="center"/>
            </w:pPr>
            <w:r>
              <w:t>71</w:t>
            </w:r>
          </w:p>
        </w:tc>
        <w:tc>
          <w:tcPr>
            <w:vAlign w:val="center"/>
          </w:tcPr>
          <w:p>
            <w:pPr>
              <w:jc w:val="center"/>
            </w:pPr>
            <w:r>
              <w:t>130.56</w:t>
            </w:r>
          </w:p>
        </w:tc>
        <w:tc>
          <w:tcPr>
            <w:vAlign w:val="center"/>
          </w:tcPr>
          <w:p>
            <w:pPr>
              <w:jc w:val="center"/>
            </w:pPr>
            <w:r>
              <w:t>83.33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28.8</w:t>
            </w:r>
          </w:p>
        </w:tc>
        <w:tc>
          <w:tcPr>
            <w:vAlign w:val="center"/>
          </w:tcPr>
          <w:p>
            <w:pPr>
              <w:jc w:val="center"/>
            </w:pPr>
            <w:r>
              <w:t>75</w:t>
            </w:r>
          </w:p>
        </w:tc>
        <w:tc>
          <w:tcPr>
            <w:vAlign w:val="center"/>
          </w:tcPr>
          <w:p>
            <w:pPr>
              <w:jc w:val="center"/>
            </w:pPr>
            <w:r>
              <w:t>47.22</w:t>
            </w:r>
          </w:p>
        </w:tc>
        <w:tc>
          <w:tcPr>
            <w:vAlign w:val="center"/>
          </w:tcPr>
          <w:p>
            <w:pPr>
              <w:jc w:val="center"/>
            </w:pPr>
            <w:r>
              <w:t>33.33</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28.1</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27.6</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27.1</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26.7</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26.4</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0.7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28.2</w:t>
            </w:r>
          </w:p>
        </w:tc>
        <w:tc>
          <w:tcPr>
            <w:vAlign w:val="center"/>
          </w:tcPr>
          <w:p>
            <w:pPr>
              <w:jc w:val="center"/>
            </w:pPr>
            <w:r>
              <w:t>77</w:t>
            </w:r>
          </w:p>
        </w:tc>
        <w:tc>
          <w:tcPr>
            <w:vAlign w:val="center"/>
          </w:tcPr>
          <w:p>
            <w:pPr>
              <w:jc w:val="center"/>
            </w:pPr>
            <w:r>
              <w:t>148.15</w:t>
            </w:r>
          </w:p>
        </w:tc>
        <w:tc>
          <w:tcPr>
            <w:vAlign w:val="center"/>
          </w:tcPr>
          <w:p>
            <w:pPr>
              <w:jc w:val="center"/>
            </w:pPr>
            <w:r>
              <w:t>81.13</w:t>
            </w:r>
          </w:p>
        </w:tc>
        <w:tc>
          <w:tcPr>
            <w:vAlign w:val="center"/>
          </w:tcPr>
          <w:p>
            <w:pPr>
              <w:jc w:val="center"/>
            </w:pPr>
            <w:r>
              <w:t>1.5</w:t>
            </w:r>
          </w:p>
        </w:tc>
        <w:tc>
          <w:tcPr>
            <w:vMerge w:val="continue"/>
            <w:vAlign w:val="center"/>
          </w:tcPr>
          <w:p>
            <w:pPr>
              <w:jc w:val="center"/>
            </w:pPr>
          </w:p>
        </w:tc>
      </w:tr>
    </w:tbl>
    <w:p>
      <w:pPr>
        <w:pStyle w:val="3"/>
        <w:ind w:firstLine="0" w:firstLineChars="0"/>
        <w:rPr>
          <w:lang w:val="en-US"/>
        </w:rPr>
      </w:pPr>
      <w:bookmarkStart w:id="28" w:name="气象参数"/>
      <w:bookmarkEnd w:id="28"/>
    </w:p>
    <w:p>
      <w:pPr>
        <w:pStyle w:val="4"/>
      </w:pPr>
      <w:bookmarkStart w:id="29" w:name="_Toc11900"/>
      <w:r>
        <w:rPr>
          <w:rFonts w:hint="eastAsia"/>
        </w:rPr>
        <w:t>渗透面夏季逐时蒸发量</w:t>
      </w:r>
      <w:bookmarkEnd w:id="2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0" w:name="蒸发量参数"/>
      <w:bookmarkEnd w:id="30"/>
    </w:p>
    <w:p>
      <w:pPr>
        <w:pStyle w:val="2"/>
      </w:pPr>
      <w:bookmarkStart w:id="31" w:name="_Toc15011"/>
      <w:r>
        <w:rPr>
          <w:rFonts w:hint="eastAsia"/>
        </w:rPr>
        <w:t>指标概览</w:t>
      </w:r>
      <w:bookmarkEnd w:id="31"/>
    </w:p>
    <w:p>
      <w:pPr>
        <w:pStyle w:val="4"/>
      </w:pPr>
      <w:bookmarkStart w:id="32" w:name="_Toc9126"/>
      <w:r>
        <w:rPr>
          <w:rFonts w:hint="eastAsia"/>
        </w:rPr>
        <w:t>建筑列表</w:t>
      </w:r>
      <w:bookmarkEnd w:id="3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w:t>
            </w:r>
          </w:p>
        </w:tc>
        <w:tc>
          <w:tcPr>
            <w:vAlign w:val="center"/>
          </w:tcPr>
          <w:p>
            <w:r>
              <w:t>44.5</w:t>
            </w:r>
          </w:p>
        </w:tc>
        <w:tc>
          <w:tcPr>
            <w:vAlign w:val="center"/>
          </w:tcPr>
          <w:p>
            <w:r>
              <w:t>9.0</w:t>
            </w:r>
          </w:p>
        </w:tc>
        <w:tc>
          <w:tcPr>
            <w:vAlign w:val="center"/>
          </w:tcPr>
          <w:p>
            <w:r>
              <w:t>44.4</w:t>
            </w:r>
          </w:p>
        </w:tc>
        <w:tc>
          <w:tcPr>
            <w:vAlign w:val="center"/>
          </w:tcPr>
          <w:p>
            <w:r>
              <w:t>0.85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w:t>
            </w:r>
          </w:p>
        </w:tc>
        <w:tc>
          <w:tcPr>
            <w:vAlign w:val="center"/>
          </w:tcPr>
          <w:p>
            <w:r>
              <w:t>44.4</w:t>
            </w:r>
          </w:p>
        </w:tc>
        <w:tc>
          <w:tcPr>
            <w:vAlign w:val="center"/>
          </w:tcPr>
          <w:p>
            <w:r>
              <w:t>9.0</w:t>
            </w:r>
          </w:p>
        </w:tc>
        <w:tc>
          <w:tcPr>
            <w:vAlign w:val="center"/>
          </w:tcPr>
          <w:p>
            <w:r>
              <w:t>44.4</w:t>
            </w:r>
          </w:p>
        </w:tc>
        <w:tc>
          <w:tcPr>
            <w:vAlign w:val="center"/>
          </w:tcPr>
          <w:p>
            <w:r>
              <w:t>0.95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w:t>
            </w:r>
          </w:p>
        </w:tc>
        <w:tc>
          <w:tcPr>
            <w:vAlign w:val="center"/>
          </w:tcPr>
          <w:p>
            <w:r>
              <w:t>40.0</w:t>
            </w:r>
          </w:p>
        </w:tc>
        <w:tc>
          <w:tcPr>
            <w:vAlign w:val="center"/>
          </w:tcPr>
          <w:p>
            <w:r>
              <w:t>12.0</w:t>
            </w:r>
          </w:p>
        </w:tc>
        <w:tc>
          <w:tcPr>
            <w:vAlign w:val="center"/>
          </w:tcPr>
          <w:p>
            <w:r>
              <w:t>40.0</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w:t>
            </w:r>
          </w:p>
        </w:tc>
        <w:tc>
          <w:tcPr>
            <w:vAlign w:val="center"/>
          </w:tcPr>
          <w:p>
            <w:r>
              <w:t>40.7</w:t>
            </w:r>
          </w:p>
        </w:tc>
        <w:tc>
          <w:tcPr>
            <w:vAlign w:val="center"/>
          </w:tcPr>
          <w:p>
            <w:r>
              <w:t>15.0</w:t>
            </w:r>
          </w:p>
        </w:tc>
        <w:tc>
          <w:tcPr>
            <w:vAlign w:val="center"/>
          </w:tcPr>
          <w:p>
            <w:r>
              <w:t>40.7</w:t>
            </w:r>
          </w:p>
        </w:tc>
        <w:tc>
          <w:tcPr>
            <w:vAlign w:val="center"/>
          </w:tcPr>
          <w:p>
            <w:r>
              <w:t>0.95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w:t>
            </w:r>
          </w:p>
        </w:tc>
        <w:tc>
          <w:tcPr>
            <w:vAlign w:val="center"/>
          </w:tcPr>
          <w:p>
            <w:r>
              <w:t>42.3</w:t>
            </w:r>
          </w:p>
        </w:tc>
        <w:tc>
          <w:tcPr>
            <w:vAlign w:val="center"/>
          </w:tcPr>
          <w:p>
            <w:r>
              <w:t>15.0</w:t>
            </w:r>
          </w:p>
        </w:tc>
        <w:tc>
          <w:tcPr>
            <w:vAlign w:val="center"/>
          </w:tcPr>
          <w:p>
            <w:r>
              <w:t>41.1</w:t>
            </w:r>
          </w:p>
        </w:tc>
        <w:tc>
          <w:tcPr>
            <w:vAlign w:val="center"/>
          </w:tcPr>
          <w:p>
            <w:r>
              <w:t>0.95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w:t>
            </w:r>
          </w:p>
        </w:tc>
        <w:tc>
          <w:tcPr>
            <w:vAlign w:val="center"/>
          </w:tcPr>
          <w:p>
            <w:r>
              <w:t>46.9</w:t>
            </w:r>
          </w:p>
        </w:tc>
        <w:tc>
          <w:tcPr>
            <w:vAlign w:val="center"/>
          </w:tcPr>
          <w:p>
            <w:r>
              <w:t>18.0</w:t>
            </w:r>
          </w:p>
        </w:tc>
        <w:tc>
          <w:tcPr>
            <w:vAlign w:val="center"/>
          </w:tcPr>
          <w:p>
            <w:r>
              <w:t>46.8</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w:t>
            </w:r>
          </w:p>
        </w:tc>
        <w:tc>
          <w:tcPr>
            <w:vAlign w:val="center"/>
          </w:tcPr>
          <w:p>
            <w:r>
              <w:t>49.9</w:t>
            </w:r>
          </w:p>
        </w:tc>
        <w:tc>
          <w:tcPr>
            <w:vAlign w:val="center"/>
          </w:tcPr>
          <w:p>
            <w:r>
              <w:t>18.0</w:t>
            </w:r>
          </w:p>
        </w:tc>
        <w:tc>
          <w:tcPr>
            <w:vAlign w:val="center"/>
          </w:tcPr>
          <w:p>
            <w:r>
              <w:t>49.8</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w:t>
            </w:r>
          </w:p>
        </w:tc>
        <w:tc>
          <w:tcPr>
            <w:vAlign w:val="center"/>
          </w:tcPr>
          <w:p>
            <w:r>
              <w:t>49.9</w:t>
            </w:r>
          </w:p>
        </w:tc>
        <w:tc>
          <w:tcPr>
            <w:vAlign w:val="center"/>
          </w:tcPr>
          <w:p>
            <w:r>
              <w:t>15.0</w:t>
            </w:r>
          </w:p>
        </w:tc>
        <w:tc>
          <w:tcPr>
            <w:vAlign w:val="center"/>
          </w:tcPr>
          <w:p>
            <w:r>
              <w:t>49.8</w:t>
            </w:r>
          </w:p>
        </w:tc>
        <w:tc>
          <w:tcPr>
            <w:vAlign w:val="center"/>
          </w:tcPr>
          <w:p>
            <w:r>
              <w:t>0.91</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w:t>
            </w:r>
          </w:p>
        </w:tc>
        <w:tc>
          <w:tcPr>
            <w:vAlign w:val="center"/>
          </w:tcPr>
          <w:p>
            <w:r>
              <w:t>49.9</w:t>
            </w:r>
          </w:p>
        </w:tc>
        <w:tc>
          <w:tcPr>
            <w:vAlign w:val="center"/>
          </w:tcPr>
          <w:p>
            <w:r>
              <w:t>12.0</w:t>
            </w:r>
          </w:p>
        </w:tc>
        <w:tc>
          <w:tcPr>
            <w:vAlign w:val="center"/>
          </w:tcPr>
          <w:p>
            <w:r>
              <w:t>52.3</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w:t>
            </w:r>
          </w:p>
        </w:tc>
        <w:tc>
          <w:tcPr>
            <w:vAlign w:val="center"/>
          </w:tcPr>
          <w:p>
            <w:r>
              <w:t>255.2</w:t>
            </w:r>
          </w:p>
        </w:tc>
        <w:tc>
          <w:tcPr>
            <w:vAlign w:val="center"/>
          </w:tcPr>
          <w:p>
            <w:r>
              <w:t>4.5</w:t>
            </w:r>
          </w:p>
        </w:tc>
        <w:tc>
          <w:tcPr>
            <w:vAlign w:val="center"/>
          </w:tcPr>
          <w:p>
            <w:r>
              <w:t>261.4</w:t>
            </w:r>
          </w:p>
        </w:tc>
        <w:tc>
          <w:tcPr>
            <w:vAlign w:val="center"/>
          </w:tcPr>
          <w:p>
            <w:r>
              <w:t>0.95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w:t>
            </w:r>
          </w:p>
        </w:tc>
        <w:tc>
          <w:tcPr>
            <w:vAlign w:val="center"/>
          </w:tcPr>
          <w:p>
            <w:r>
              <w:t>967.0</w:t>
            </w:r>
          </w:p>
        </w:tc>
        <w:tc>
          <w:tcPr>
            <w:vAlign w:val="center"/>
          </w:tcPr>
          <w:p>
            <w:r>
              <w:t>4.5</w:t>
            </w:r>
          </w:p>
        </w:tc>
        <w:tc>
          <w:tcPr>
            <w:vAlign w:val="center"/>
          </w:tcPr>
          <w:p>
            <w:r>
              <w:t>825.0</w:t>
            </w:r>
          </w:p>
        </w:tc>
        <w:tc>
          <w:tcPr>
            <w:vAlign w:val="center"/>
          </w:tcPr>
          <w:p>
            <w:r>
              <w:t>0.69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w:t>
            </w:r>
          </w:p>
        </w:tc>
        <w:tc>
          <w:tcPr>
            <w:vAlign w:val="center"/>
          </w:tcPr>
          <w:p>
            <w:r>
              <w:t>75.8</w:t>
            </w:r>
          </w:p>
        </w:tc>
        <w:tc>
          <w:tcPr>
            <w:vAlign w:val="center"/>
          </w:tcPr>
          <w:p>
            <w:r>
              <w:t>16.5</w:t>
            </w:r>
          </w:p>
        </w:tc>
        <w:tc>
          <w:tcPr>
            <w:vAlign w:val="center"/>
          </w:tcPr>
          <w:p>
            <w:r>
              <w:t>86.0</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w:t>
            </w:r>
          </w:p>
        </w:tc>
        <w:tc>
          <w:tcPr>
            <w:vAlign w:val="center"/>
          </w:tcPr>
          <w:p>
            <w:r>
              <w:t>75.8</w:t>
            </w:r>
          </w:p>
        </w:tc>
        <w:tc>
          <w:tcPr>
            <w:vAlign w:val="center"/>
          </w:tcPr>
          <w:p>
            <w:r>
              <w:t>19.5</w:t>
            </w:r>
          </w:p>
        </w:tc>
        <w:tc>
          <w:tcPr>
            <w:vAlign w:val="center"/>
          </w:tcPr>
          <w:p>
            <w:r>
              <w:t>75.7</w:t>
            </w:r>
          </w:p>
        </w:tc>
        <w:tc>
          <w:tcPr>
            <w:vAlign w:val="center"/>
          </w:tcPr>
          <w:p>
            <w:r>
              <w:t>0.88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w:t>
            </w:r>
          </w:p>
        </w:tc>
        <w:tc>
          <w:tcPr>
            <w:vAlign w:val="center"/>
          </w:tcPr>
          <w:p>
            <w:r>
              <w:t>75.8</w:t>
            </w:r>
          </w:p>
        </w:tc>
        <w:tc>
          <w:tcPr>
            <w:vAlign w:val="center"/>
          </w:tcPr>
          <w:p>
            <w:r>
              <w:t>25.5</w:t>
            </w:r>
          </w:p>
        </w:tc>
        <w:tc>
          <w:tcPr>
            <w:vAlign w:val="center"/>
          </w:tcPr>
          <w:p>
            <w:r>
              <w:t>88.7</w:t>
            </w:r>
          </w:p>
        </w:tc>
        <w:tc>
          <w:tcPr>
            <w:vAlign w:val="center"/>
          </w:tcPr>
          <w:p>
            <w:r>
              <w:t>1.00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w:t>
            </w:r>
          </w:p>
        </w:tc>
        <w:tc>
          <w:tcPr>
            <w:vAlign w:val="center"/>
          </w:tcPr>
          <w:p>
            <w:r>
              <w:t>75.3</w:t>
            </w:r>
          </w:p>
        </w:tc>
        <w:tc>
          <w:tcPr>
            <w:vAlign w:val="center"/>
          </w:tcPr>
          <w:p>
            <w:r>
              <w:t>28.5</w:t>
            </w:r>
          </w:p>
        </w:tc>
        <w:tc>
          <w:tcPr>
            <w:vAlign w:val="center"/>
          </w:tcPr>
          <w:p>
            <w:r>
              <w:t>75.2</w:t>
            </w:r>
          </w:p>
        </w:tc>
        <w:tc>
          <w:tcPr>
            <w:vAlign w:val="center"/>
          </w:tcPr>
          <w:p>
            <w:r>
              <w:t>0.88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w:t>
            </w:r>
          </w:p>
        </w:tc>
        <w:tc>
          <w:tcPr>
            <w:vAlign w:val="center"/>
          </w:tcPr>
          <w:p>
            <w:r>
              <w:t>74.8</w:t>
            </w:r>
          </w:p>
        </w:tc>
        <w:tc>
          <w:tcPr>
            <w:vAlign w:val="center"/>
          </w:tcPr>
          <w:p>
            <w:r>
              <w:t>31.5</w:t>
            </w:r>
          </w:p>
        </w:tc>
        <w:tc>
          <w:tcPr>
            <w:vAlign w:val="center"/>
          </w:tcPr>
          <w:p>
            <w:r>
              <w:t>74.7</w:t>
            </w:r>
          </w:p>
        </w:tc>
        <w:tc>
          <w:tcPr>
            <w:vAlign w:val="center"/>
          </w:tcPr>
          <w:p>
            <w:r>
              <w:t>0.98</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w:t>
            </w:r>
          </w:p>
        </w:tc>
        <w:tc>
          <w:tcPr>
            <w:vAlign w:val="center"/>
          </w:tcPr>
          <w:p>
            <w:r>
              <w:t>76.0</w:t>
            </w:r>
          </w:p>
        </w:tc>
        <w:tc>
          <w:tcPr>
            <w:vAlign w:val="center"/>
          </w:tcPr>
          <w:p>
            <w:r>
              <w:t>25.5</w:t>
            </w:r>
          </w:p>
        </w:tc>
        <w:tc>
          <w:tcPr>
            <w:vAlign w:val="center"/>
          </w:tcPr>
          <w:p>
            <w:r>
              <w:t>75.9</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w:t>
            </w:r>
          </w:p>
        </w:tc>
        <w:tc>
          <w:tcPr>
            <w:vAlign w:val="center"/>
          </w:tcPr>
          <w:p>
            <w:r>
              <w:t>76.5</w:t>
            </w:r>
          </w:p>
        </w:tc>
        <w:tc>
          <w:tcPr>
            <w:vAlign w:val="center"/>
          </w:tcPr>
          <w:p>
            <w:r>
              <w:t>25.5</w:t>
            </w:r>
          </w:p>
        </w:tc>
        <w:tc>
          <w:tcPr>
            <w:vAlign w:val="center"/>
          </w:tcPr>
          <w:p>
            <w:r>
              <w:t>79.3</w:t>
            </w:r>
          </w:p>
        </w:tc>
        <w:tc>
          <w:tcPr>
            <w:vAlign w:val="center"/>
          </w:tcPr>
          <w:p>
            <w:r>
              <w:t>0.94</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w:t>
            </w:r>
          </w:p>
        </w:tc>
        <w:tc>
          <w:tcPr>
            <w:vAlign w:val="center"/>
          </w:tcPr>
          <w:p>
            <w:r>
              <w:t>74.8</w:t>
            </w:r>
          </w:p>
        </w:tc>
        <w:tc>
          <w:tcPr>
            <w:vAlign w:val="center"/>
          </w:tcPr>
          <w:p>
            <w:r>
              <w:t>28.5</w:t>
            </w:r>
          </w:p>
        </w:tc>
        <w:tc>
          <w:tcPr>
            <w:vAlign w:val="center"/>
          </w:tcPr>
          <w:p>
            <w:r>
              <w:t>88.2</w:t>
            </w:r>
          </w:p>
        </w:tc>
        <w:tc>
          <w:tcPr>
            <w:vAlign w:val="center"/>
          </w:tcPr>
          <w:p>
            <w:r>
              <w:t>0.75</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21</w:t>
            </w:r>
          </w:p>
        </w:tc>
        <w:tc>
          <w:tcPr>
            <w:vAlign w:val="center"/>
          </w:tcPr>
          <w:p>
            <w:r>
              <w:t>75.3</w:t>
            </w:r>
          </w:p>
        </w:tc>
        <w:tc>
          <w:tcPr>
            <w:vAlign w:val="center"/>
          </w:tcPr>
          <w:p>
            <w:r>
              <w:t>22.5</w:t>
            </w:r>
          </w:p>
        </w:tc>
        <w:tc>
          <w:tcPr>
            <w:vAlign w:val="center"/>
          </w:tcPr>
          <w:p>
            <w:r>
              <w:t>74.7</w:t>
            </w:r>
          </w:p>
        </w:tc>
        <w:tc>
          <w:tcPr>
            <w:vAlign w:val="center"/>
          </w:tcPr>
          <w:p>
            <w:r>
              <w:t>0.89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22</w:t>
            </w:r>
          </w:p>
        </w:tc>
        <w:tc>
          <w:tcPr>
            <w:vAlign w:val="center"/>
          </w:tcPr>
          <w:p>
            <w:r>
              <w:t>386.9</w:t>
            </w:r>
          </w:p>
        </w:tc>
        <w:tc>
          <w:tcPr>
            <w:vAlign w:val="center"/>
          </w:tcPr>
          <w:p>
            <w:r>
              <w:t>7.5</w:t>
            </w:r>
          </w:p>
        </w:tc>
        <w:tc>
          <w:tcPr>
            <w:vAlign w:val="center"/>
          </w:tcPr>
          <w:p>
            <w:r>
              <w:t>756.7</w:t>
            </w:r>
          </w:p>
        </w:tc>
        <w:tc>
          <w:tcPr>
            <w:vAlign w:val="center"/>
          </w:tcPr>
          <w:p>
            <w:r>
              <w:t>0.99</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23</w:t>
            </w:r>
          </w:p>
        </w:tc>
        <w:tc>
          <w:tcPr>
            <w:vAlign w:val="center"/>
          </w:tcPr>
          <w:p>
            <w:r>
              <w:t>75.8</w:t>
            </w:r>
          </w:p>
        </w:tc>
        <w:tc>
          <w:tcPr>
            <w:vAlign w:val="center"/>
          </w:tcPr>
          <w:p>
            <w:r>
              <w:t>19.5</w:t>
            </w:r>
          </w:p>
        </w:tc>
        <w:tc>
          <w:tcPr>
            <w:vAlign w:val="center"/>
          </w:tcPr>
          <w:p>
            <w:r>
              <w:t>159.0</w:t>
            </w:r>
          </w:p>
        </w:tc>
        <w:tc>
          <w:tcPr>
            <w:vAlign w:val="center"/>
          </w:tcPr>
          <w:p>
            <w:r>
              <w:t>0.76</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24</w:t>
            </w:r>
          </w:p>
        </w:tc>
        <w:tc>
          <w:tcPr>
            <w:vAlign w:val="center"/>
          </w:tcPr>
          <w:p>
            <w:r>
              <w:t>533.6</w:t>
            </w:r>
          </w:p>
        </w:tc>
        <w:tc>
          <w:tcPr>
            <w:vAlign w:val="center"/>
          </w:tcPr>
          <w:p>
            <w:r>
              <w:t>4.5</w:t>
            </w:r>
          </w:p>
        </w:tc>
        <w:tc>
          <w:tcPr>
            <w:vAlign w:val="center"/>
          </w:tcPr>
          <w:p>
            <w:r>
              <w:t>689.2</w:t>
            </w:r>
          </w:p>
        </w:tc>
        <w:tc>
          <w:tcPr>
            <w:vAlign w:val="center"/>
          </w:tcPr>
          <w:p>
            <w:r>
              <w:t>0.98</w:t>
            </w:r>
          </w:p>
        </w:tc>
        <w:tc>
          <w:tcPr>
            <w:vAlign w:val="center"/>
          </w:tcPr>
          <w:p>
            <w:r>
              <w:t>0.0</w:t>
            </w:r>
          </w:p>
        </w:tc>
      </w:tr>
    </w:tbl>
    <w:p>
      <w:pPr>
        <w:pStyle w:val="3"/>
        <w:ind w:firstLine="420"/>
        <w:rPr>
          <w:lang w:val="en-US"/>
        </w:rPr>
      </w:pPr>
      <w:bookmarkStart w:id="33" w:name="建筑列表"/>
      <w:bookmarkEnd w:id="33"/>
    </w:p>
    <w:p>
      <w:pPr>
        <w:pStyle w:val="4"/>
      </w:pPr>
      <w:bookmarkStart w:id="34" w:name="_Toc20264"/>
      <w:r>
        <w:rPr>
          <w:rFonts w:hint="eastAsia"/>
        </w:rPr>
        <w:t>住区指标</w:t>
      </w:r>
      <w:bookmarkEnd w:id="34"/>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8239.80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4945.33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1990.30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948.46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1357.86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12.57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2097.22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2858.09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203.87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2200.27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13.62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4</w:t>
            </w:r>
          </w:p>
        </w:tc>
      </w:tr>
    </w:tbl>
    <w:p>
      <w:pPr>
        <w:pStyle w:val="3"/>
        <w:ind w:firstLine="420"/>
        <w:rPr>
          <w:lang w:val="en-US"/>
        </w:rPr>
      </w:pPr>
      <w:bookmarkStart w:id="35" w:name="住区指标概览"/>
      <w:bookmarkEnd w:id="35"/>
    </w:p>
    <w:p>
      <w:pPr>
        <w:pStyle w:val="2"/>
      </w:pPr>
      <w:bookmarkStart w:id="36" w:name="_Toc11314"/>
      <w:r>
        <w:rPr>
          <w:rFonts w:hint="eastAsia"/>
        </w:rPr>
        <w:t>计算结果</w:t>
      </w:r>
      <w:bookmarkEnd w:id="36"/>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28.2</w:t>
            </w:r>
          </w:p>
        </w:tc>
        <w:tc>
          <w:tcPr>
            <w:vAlign w:val="center"/>
          </w:tcPr>
          <w:p>
            <w:r>
              <w:t>1.6</w:t>
            </w:r>
          </w:p>
        </w:tc>
        <w:tc>
          <w:tcPr>
            <w:vAlign w:val="center"/>
          </w:tcPr>
          <w:p>
            <w:r>
              <w:t>3.3</w:t>
            </w:r>
          </w:p>
        </w:tc>
        <w:tc>
          <w:tcPr>
            <w:vAlign w:val="center"/>
          </w:tcPr>
          <w:p>
            <w:r>
              <w:t>1.2</w:t>
            </w:r>
          </w:p>
        </w:tc>
        <w:tc>
          <w:tcPr>
            <w:vAlign w:val="center"/>
          </w:tcPr>
          <w:p>
            <w:r>
              <w:t>25.3</w:t>
            </w:r>
          </w:p>
        </w:tc>
        <w:tc>
          <w:tcPr>
            <w:vAlign w:val="center"/>
          </w:tcPr>
          <w:p>
            <w:r>
              <w:t>29.0</w:t>
            </w:r>
          </w:p>
        </w:tc>
        <w:tc>
          <w:tcPr>
            <w:vAlign w:val="center"/>
          </w:tcPr>
          <w:p>
            <w:r>
              <w:t>-3.651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28.2</w:t>
            </w:r>
          </w:p>
        </w:tc>
        <w:tc>
          <w:tcPr>
            <w:vAlign w:val="center"/>
          </w:tcPr>
          <w:p>
            <w:r>
              <w:t>2.5</w:t>
            </w:r>
          </w:p>
        </w:tc>
        <w:tc>
          <w:tcPr>
            <w:vAlign w:val="center"/>
          </w:tcPr>
          <w:p>
            <w:r>
              <w:t>3.3</w:t>
            </w:r>
          </w:p>
        </w:tc>
        <w:tc>
          <w:tcPr>
            <w:vAlign w:val="center"/>
          </w:tcPr>
          <w:p>
            <w:r>
              <w:t>1.2</w:t>
            </w:r>
          </w:p>
        </w:tc>
        <w:tc>
          <w:tcPr>
            <w:vAlign w:val="center"/>
          </w:tcPr>
          <w:p>
            <w:r>
              <w:t>26.2</w:t>
            </w:r>
          </w:p>
        </w:tc>
        <w:tc>
          <w:tcPr>
            <w:vAlign w:val="center"/>
          </w:tcPr>
          <w:p>
            <w:r>
              <w:t>29.7</w:t>
            </w:r>
          </w:p>
        </w:tc>
        <w:tc>
          <w:tcPr>
            <w:vAlign w:val="center"/>
          </w:tcPr>
          <w:p>
            <w:r>
              <w:t>-3.545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28.2</w:t>
            </w:r>
          </w:p>
        </w:tc>
        <w:tc>
          <w:tcPr>
            <w:vAlign w:val="center"/>
          </w:tcPr>
          <w:p>
            <w:r>
              <w:t>3.5</w:t>
            </w:r>
          </w:p>
        </w:tc>
        <w:tc>
          <w:tcPr>
            <w:vAlign w:val="center"/>
          </w:tcPr>
          <w:p>
            <w:r>
              <w:t>3.3</w:t>
            </w:r>
          </w:p>
        </w:tc>
        <w:tc>
          <w:tcPr>
            <w:vAlign w:val="center"/>
          </w:tcPr>
          <w:p>
            <w:r>
              <w:t>1.2</w:t>
            </w:r>
          </w:p>
        </w:tc>
        <w:tc>
          <w:tcPr>
            <w:vAlign w:val="center"/>
          </w:tcPr>
          <w:p>
            <w:r>
              <w:t>27.2</w:t>
            </w:r>
          </w:p>
        </w:tc>
        <w:tc>
          <w:tcPr>
            <w:vAlign w:val="center"/>
          </w:tcPr>
          <w:p>
            <w:r>
              <w:t>30.4</w:t>
            </w:r>
          </w:p>
        </w:tc>
        <w:tc>
          <w:tcPr>
            <w:vAlign w:val="center"/>
          </w:tcPr>
          <w:p>
            <w:r>
              <w:t>-3.214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28.2</w:t>
            </w:r>
          </w:p>
        </w:tc>
        <w:tc>
          <w:tcPr>
            <w:vAlign w:val="center"/>
          </w:tcPr>
          <w:p>
            <w:r>
              <w:t>4.5</w:t>
            </w:r>
          </w:p>
        </w:tc>
        <w:tc>
          <w:tcPr>
            <w:vAlign w:val="center"/>
          </w:tcPr>
          <w:p>
            <w:r>
              <w:t>3.3</w:t>
            </w:r>
          </w:p>
        </w:tc>
        <w:tc>
          <w:tcPr>
            <w:vAlign w:val="center"/>
          </w:tcPr>
          <w:p>
            <w:r>
              <w:t>1.1</w:t>
            </w:r>
          </w:p>
        </w:tc>
        <w:tc>
          <w:tcPr>
            <w:vAlign w:val="center"/>
          </w:tcPr>
          <w:p>
            <w:r>
              <w:t>28.3</w:t>
            </w:r>
          </w:p>
        </w:tc>
        <w:tc>
          <w:tcPr>
            <w:vAlign w:val="center"/>
          </w:tcPr>
          <w:p>
            <w:r>
              <w:t>30.9</w:t>
            </w:r>
          </w:p>
        </w:tc>
        <w:tc>
          <w:tcPr>
            <w:vAlign w:val="center"/>
          </w:tcPr>
          <w:p>
            <w:r>
              <w:t>-2.553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28.2</w:t>
            </w:r>
          </w:p>
        </w:tc>
        <w:tc>
          <w:tcPr>
            <w:vAlign w:val="center"/>
          </w:tcPr>
          <w:p>
            <w:r>
              <w:t>5.4</w:t>
            </w:r>
          </w:p>
        </w:tc>
        <w:tc>
          <w:tcPr>
            <w:vAlign w:val="center"/>
          </w:tcPr>
          <w:p>
            <w:r>
              <w:t>3.3</w:t>
            </w:r>
          </w:p>
        </w:tc>
        <w:tc>
          <w:tcPr>
            <w:vAlign w:val="center"/>
          </w:tcPr>
          <w:p>
            <w:r>
              <w:t>1.0</w:t>
            </w:r>
          </w:p>
        </w:tc>
        <w:tc>
          <w:tcPr>
            <w:vAlign w:val="center"/>
          </w:tcPr>
          <w:p>
            <w:r>
              <w:t>29.3</w:t>
            </w:r>
          </w:p>
        </w:tc>
        <w:tc>
          <w:tcPr>
            <w:vAlign w:val="center"/>
          </w:tcPr>
          <w:p>
            <w:r>
              <w:t>31.1</w:t>
            </w:r>
          </w:p>
        </w:tc>
        <w:tc>
          <w:tcPr>
            <w:vAlign w:val="center"/>
          </w:tcPr>
          <w:p>
            <w:r>
              <w:t>-1.784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28.2</w:t>
            </w:r>
          </w:p>
        </w:tc>
        <w:tc>
          <w:tcPr>
            <w:vAlign w:val="center"/>
          </w:tcPr>
          <w:p>
            <w:r>
              <w:t>6.0</w:t>
            </w:r>
          </w:p>
        </w:tc>
        <w:tc>
          <w:tcPr>
            <w:vAlign w:val="center"/>
          </w:tcPr>
          <w:p>
            <w:r>
              <w:t>3.3</w:t>
            </w:r>
          </w:p>
        </w:tc>
        <w:tc>
          <w:tcPr>
            <w:vAlign w:val="center"/>
          </w:tcPr>
          <w:p>
            <w:r>
              <w:t>0.8</w:t>
            </w:r>
          </w:p>
        </w:tc>
        <w:tc>
          <w:tcPr>
            <w:vAlign w:val="center"/>
          </w:tcPr>
          <w:p>
            <w:r>
              <w:t>30.2</w:t>
            </w:r>
          </w:p>
        </w:tc>
        <w:tc>
          <w:tcPr>
            <w:vAlign w:val="center"/>
          </w:tcPr>
          <w:p>
            <w:r>
              <w:t>31.0</w:t>
            </w:r>
          </w:p>
        </w:tc>
        <w:tc>
          <w:tcPr>
            <w:vAlign w:val="center"/>
          </w:tcPr>
          <w:p>
            <w:r>
              <w:t>-0.823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28.2</w:t>
            </w:r>
          </w:p>
        </w:tc>
        <w:tc>
          <w:tcPr>
            <w:vAlign w:val="center"/>
          </w:tcPr>
          <w:p>
            <w:r>
              <w:t>6.3</w:t>
            </w:r>
          </w:p>
        </w:tc>
        <w:tc>
          <w:tcPr>
            <w:vAlign w:val="center"/>
          </w:tcPr>
          <w:p>
            <w:r>
              <w:t>3.2</w:t>
            </w:r>
          </w:p>
        </w:tc>
        <w:tc>
          <w:tcPr>
            <w:vAlign w:val="center"/>
          </w:tcPr>
          <w:p>
            <w:r>
              <w:t>0.6</w:t>
            </w:r>
          </w:p>
        </w:tc>
        <w:tc>
          <w:tcPr>
            <w:vAlign w:val="center"/>
          </w:tcPr>
          <w:p>
            <w:r>
              <w:t>30.6</w:t>
            </w:r>
          </w:p>
        </w:tc>
        <w:tc>
          <w:tcPr>
            <w:vAlign w:val="center"/>
          </w:tcPr>
          <w:p>
            <w:r>
              <w:t>30.7</w:t>
            </w:r>
          </w:p>
        </w:tc>
        <w:tc>
          <w:tcPr>
            <w:vAlign w:val="center"/>
          </w:tcPr>
          <w:p>
            <w:r>
              <w:t>-0.069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28.2</w:t>
            </w:r>
          </w:p>
        </w:tc>
        <w:tc>
          <w:tcPr>
            <w:vAlign w:val="center"/>
          </w:tcPr>
          <w:p>
            <w:r>
              <w:t>6.3</w:t>
            </w:r>
          </w:p>
        </w:tc>
        <w:tc>
          <w:tcPr>
            <w:vAlign w:val="center"/>
          </w:tcPr>
          <w:p>
            <w:r>
              <w:t>3.2</w:t>
            </w:r>
          </w:p>
        </w:tc>
        <w:tc>
          <w:tcPr>
            <w:vAlign w:val="center"/>
          </w:tcPr>
          <w:p>
            <w:r>
              <w:t>0.5</w:t>
            </w:r>
          </w:p>
        </w:tc>
        <w:tc>
          <w:tcPr>
            <w:vAlign w:val="center"/>
          </w:tcPr>
          <w:p>
            <w:r>
              <w:t>30.8</w:t>
            </w:r>
          </w:p>
        </w:tc>
        <w:tc>
          <w:tcPr>
            <w:vAlign w:val="center"/>
          </w:tcPr>
          <w:p>
            <w:r>
              <w:t>30.1</w:t>
            </w:r>
          </w:p>
        </w:tc>
        <w:tc>
          <w:tcPr>
            <w:vAlign w:val="center"/>
          </w:tcPr>
          <w:p>
            <w:r>
              <w:t>0.741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28.2</w:t>
            </w:r>
          </w:p>
        </w:tc>
        <w:tc>
          <w:tcPr>
            <w:vAlign w:val="center"/>
          </w:tcPr>
          <w:p>
            <w:r>
              <w:t>6.2</w:t>
            </w:r>
          </w:p>
        </w:tc>
        <w:tc>
          <w:tcPr>
            <w:vAlign w:val="center"/>
          </w:tcPr>
          <w:p>
            <w:r>
              <w:t>3.2</w:t>
            </w:r>
          </w:p>
        </w:tc>
        <w:tc>
          <w:tcPr>
            <w:vAlign w:val="center"/>
          </w:tcPr>
          <w:p>
            <w:r>
              <w:t>0.3</w:t>
            </w:r>
          </w:p>
        </w:tc>
        <w:tc>
          <w:tcPr>
            <w:vAlign w:val="center"/>
          </w:tcPr>
          <w:p>
            <w:r>
              <w:t>30.8</w:t>
            </w:r>
          </w:p>
        </w:tc>
        <w:tc>
          <w:tcPr>
            <w:vAlign w:val="center"/>
          </w:tcPr>
          <w:p>
            <w:r>
              <w:t>29.4</w:t>
            </w:r>
          </w:p>
        </w:tc>
        <w:tc>
          <w:tcPr>
            <w:vAlign w:val="center"/>
          </w:tcPr>
          <w:p>
            <w:r>
              <w:t>1.449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28.2</w:t>
            </w:r>
          </w:p>
        </w:tc>
        <w:tc>
          <w:tcPr>
            <w:vAlign w:val="center"/>
          </w:tcPr>
          <w:p>
            <w:r>
              <w:t>5.8</w:t>
            </w:r>
          </w:p>
        </w:tc>
        <w:tc>
          <w:tcPr>
            <w:vAlign w:val="center"/>
          </w:tcPr>
          <w:p>
            <w:r>
              <w:t>3.1</w:t>
            </w:r>
          </w:p>
        </w:tc>
        <w:tc>
          <w:tcPr>
            <w:vAlign w:val="center"/>
          </w:tcPr>
          <w:p>
            <w:r>
              <w:t>0.3</w:t>
            </w:r>
          </w:p>
        </w:tc>
        <w:tc>
          <w:tcPr>
            <w:vAlign w:val="center"/>
          </w:tcPr>
          <w:p>
            <w:r>
              <w:t>30.7</w:t>
            </w:r>
          </w:p>
        </w:tc>
        <w:tc>
          <w:tcPr>
            <w:vAlign w:val="center"/>
          </w:tcPr>
          <w:p>
            <w:r>
              <w:t>28.8</w:t>
            </w:r>
          </w:p>
        </w:tc>
        <w:tc>
          <w:tcPr>
            <w:vAlign w:val="center"/>
          </w:tcPr>
          <w:p>
            <w:r>
              <w:t>1.895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28.2</w:t>
            </w:r>
          </w:p>
        </w:tc>
        <w:tc>
          <w:tcPr>
            <w:vAlign w:val="center"/>
          </w:tcPr>
          <w:p>
            <w:r>
              <w:t>5.4</w:t>
            </w:r>
          </w:p>
        </w:tc>
        <w:tc>
          <w:tcPr>
            <w:vAlign w:val="center"/>
          </w:tcPr>
          <w:p>
            <w:r>
              <w:t>3.1</w:t>
            </w:r>
          </w:p>
        </w:tc>
        <w:tc>
          <w:tcPr>
            <w:vAlign w:val="center"/>
          </w:tcPr>
          <w:p>
            <w:r>
              <w:t>0.2</w:t>
            </w:r>
          </w:p>
        </w:tc>
        <w:tc>
          <w:tcPr>
            <w:vAlign w:val="center"/>
          </w:tcPr>
          <w:p>
            <w:r>
              <w:t>30.4</w:t>
            </w:r>
          </w:p>
        </w:tc>
        <w:tc>
          <w:tcPr>
            <w:vAlign w:val="center"/>
          </w:tcPr>
          <w:p>
            <w:r>
              <w:t>28.1</w:t>
            </w:r>
          </w:p>
        </w:tc>
        <w:tc>
          <w:tcPr>
            <w:vAlign w:val="center"/>
          </w:tcPr>
          <w:p>
            <w:r>
              <w:t>2.262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-0.84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lang w:val="en-US"/>
        </w:rPr>
      </w:pPr>
      <w:bookmarkStart w:id="37" w:name="平均热岛强度"/>
      <w:bookmarkEnd w:id="37"/>
    </w:p>
    <w:p>
      <w:pPr>
        <w:pStyle w:val="3"/>
        <w:ind w:firstLine="0" w:firstLineChars="0"/>
        <w:rPr>
          <w:lang w:val="en-US"/>
        </w:rPr>
      </w:pPr>
      <w:bookmarkStart w:id="38" w:name="平均热岛强度图片"/>
      <w:bookmarkEnd w:id="38"/>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34411"/>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33634411"/>
    <w:rsid w:val="4EF2006A"/>
    <w:rsid w:val="6923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i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8</Pages>
  <Words>1679</Words>
  <Characters>3235</Characters>
  <Lines>11</Lines>
  <Paragraphs>3</Paragraphs>
  <TotalTime>8</TotalTime>
  <ScaleCrop>false</ScaleCrop>
  <LinksUpToDate>false</LinksUpToDate>
  <CharactersWithSpaces>3269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2022-01-02T08:55:00Z</dcterms:created>
  <dc:creator>辛鲜萝卜皮</dc:creator>
  <cp:lastModifiedBy>jg</cp:lastModifiedBy>
  <dcterms:modified xsi:type="dcterms:W3CDTF">2022-01-04T06:59:16Z</dcterms:modified>
  <dc:title>住区热岛强度报告书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14E224959AAD4437BD49CEB85FD3E40C</vt:lpwstr>
  </property>
  <property fmtid="{D5CDD505-2E9C-101B-9397-08002B2CF9AE}" pid="3" name="KSOProductBuildVer">
    <vt:lpwstr>2052-11.1.0.10700</vt:lpwstr>
  </property>
</Properties>
</file>