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隐·现</w:t>
            </w:r>
            <w:r>
              <w:rPr>
                <w:rFonts w:hint="eastAsia" w:ascii="宋体" w:hAnsi="宋体"/>
                <w:szCs w:val="21"/>
                <w:lang w:eastAsia="zh-CN"/>
              </w:rPr>
              <w:t>”——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疗养活动中心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大连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2" w:name="设计编号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YB40135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3" w:name="建设单位"/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>大连理工大学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 w:eastAsia="宋体" w:cs="Times New Roman"/>
                <w:sz w:val="21"/>
                <w:szCs w:val="21"/>
                <w:lang w:val="en-GB" w:eastAsia="zh-CN" w:bidi="ar-SA"/>
              </w:rPr>
            </w:pPr>
            <w:bookmarkStart w:id="4" w:name="设计单位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大连理工大学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雒童 邹斯晴 钟豪杰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雒童 邹斯晴 钟豪杰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雒童 邹斯晴 钟豪杰</w:t>
            </w:r>
            <w:bookmarkStart w:id="48" w:name="_GoBack"/>
            <w:bookmarkEnd w:id="4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bookmarkStart w:id="5" w:name="报告日期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2022年1月1日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lang w:val="en-US"/>
        </w:rPr>
      </w:pP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T13731456390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"_Toc89805819"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住区概况</w:t>
      </w:r>
      <w:r>
        <w:tab/>
      </w:r>
      <w:r>
        <w:fldChar w:fldCharType="begin"/>
      </w:r>
      <w:r>
        <w:instrText xml:space="preserve"> PAGEREF _Toc89805819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"_Toc89805820"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标准依据</w:t>
      </w:r>
      <w:r>
        <w:tab/>
      </w:r>
      <w:r>
        <w:fldChar w:fldCharType="begin"/>
      </w:r>
      <w:r>
        <w:instrText xml:space="preserve"> PAGEREF _Toc89805820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"_Toc89805821"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指标详情</w:t>
      </w:r>
      <w:r>
        <w:tab/>
      </w:r>
      <w:r>
        <w:fldChar w:fldCharType="begin"/>
      </w:r>
      <w:r>
        <w:instrText xml:space="preserve"> PAGEREF _Toc89805821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"_Toc89805822" </w:instrText>
      </w:r>
      <w:r>
        <w:fldChar w:fldCharType="separate"/>
      </w:r>
      <w:r>
        <w:rPr>
          <w:rStyle w:val="22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规范要求</w:t>
      </w:r>
      <w:r>
        <w:tab/>
      </w:r>
      <w:r>
        <w:fldChar w:fldCharType="begin"/>
      </w:r>
      <w:r>
        <w:instrText xml:space="preserve"> PAGEREF _Toc89805822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"_Toc89805823" </w:instrText>
      </w:r>
      <w:r>
        <w:fldChar w:fldCharType="separate"/>
      </w:r>
      <w:r>
        <w:rPr>
          <w:rStyle w:val="22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计算方法</w:t>
      </w:r>
      <w:r>
        <w:tab/>
      </w:r>
      <w:r>
        <w:fldChar w:fldCharType="begin"/>
      </w:r>
      <w:r>
        <w:instrText xml:space="preserve"> PAGEREF _Toc89805823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"_Toc89805824"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指标概览</w:t>
      </w:r>
      <w:r>
        <w:tab/>
      </w:r>
      <w:r>
        <w:fldChar w:fldCharType="begin"/>
      </w:r>
      <w:r>
        <w:instrText xml:space="preserve"> PAGEREF _Toc89805824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"_Toc89805825"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建筑列表</w:t>
      </w:r>
      <w:r>
        <w:tab/>
      </w:r>
      <w:r>
        <w:fldChar w:fldCharType="begin"/>
      </w:r>
      <w:r>
        <w:instrText xml:space="preserve"> PAGEREF _Toc89805825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"_Toc89805826"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各类面积指标</w:t>
      </w:r>
      <w:r>
        <w:tab/>
      </w:r>
      <w:r>
        <w:fldChar w:fldCharType="begin"/>
      </w:r>
      <w:r>
        <w:instrText xml:space="preserve"> PAGEREF _Toc89805826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"_Toc89805827"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计算结果</w:t>
      </w:r>
      <w:r>
        <w:tab/>
      </w:r>
      <w:r>
        <w:fldChar w:fldCharType="begin"/>
      </w:r>
      <w:r>
        <w:instrText xml:space="preserve"> PAGEREF _Toc89805827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"_Toc89805828" </w:instrText>
      </w:r>
      <w:r>
        <w:fldChar w:fldCharType="separate"/>
      </w:r>
      <w:r>
        <w:rPr>
          <w:rStyle w:val="22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活动场地遮阴率</w:t>
      </w:r>
      <w:r>
        <w:tab/>
      </w:r>
      <w:r>
        <w:fldChar w:fldCharType="begin"/>
      </w:r>
      <w:r>
        <w:instrText xml:space="preserve"> PAGEREF _Toc89805828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"_Toc89805829" </w:instrText>
      </w:r>
      <w:r>
        <w:fldChar w:fldCharType="separate"/>
      </w:r>
      <w:r>
        <w:rPr>
          <w:rStyle w:val="22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车道热环境指标</w:t>
      </w:r>
      <w:r>
        <w:tab/>
      </w:r>
      <w:r>
        <w:fldChar w:fldCharType="begin"/>
      </w:r>
      <w:r>
        <w:instrText xml:space="preserve"> PAGEREF _Toc89805829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"_Toc89805830" </w:instrText>
      </w:r>
      <w:r>
        <w:fldChar w:fldCharType="separate"/>
      </w:r>
      <w:r>
        <w:rPr>
          <w:rStyle w:val="22"/>
          <w:lang w:val="en-GB"/>
        </w:rPr>
        <w:t>5.3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屋顶热环境指标</w:t>
      </w:r>
      <w:r>
        <w:tab/>
      </w:r>
      <w:r>
        <w:fldChar w:fldCharType="begin"/>
      </w:r>
      <w:r>
        <w:instrText xml:space="preserve"> PAGEREF _Toc89805830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"_Toc89805831"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评价结论</w:t>
      </w:r>
      <w:r>
        <w:tab/>
      </w:r>
      <w:r>
        <w:fldChar w:fldCharType="begin"/>
      </w:r>
      <w:r>
        <w:instrText xml:space="preserve"> PAGEREF _Toc89805831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</w:pPr>
      <w:bookmarkStart w:id="11" w:name="_Toc401318136"/>
      <w:bookmarkStart w:id="12" w:name="_Toc89805819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隐·现</w:t>
            </w:r>
            <w:r>
              <w:rPr>
                <w:rFonts w:hint="eastAsia" w:ascii="宋体" w:hAnsi="宋体"/>
                <w:szCs w:val="21"/>
                <w:lang w:eastAsia="zh-CN"/>
              </w:rPr>
              <w:t>”——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疗养活动中心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大连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38.92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121.60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9" w:name="总图平面图"/>
      <w:bookmarkEnd w:id="19"/>
      <w:r>
        <w:drawing>
          <wp:inline distT="0" distB="0" distL="0" distR="0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0" w:name="_Toc89805820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50378-2019</w:t>
      </w:r>
    </w:p>
    <w:p>
      <w:pPr>
        <w:pStyle w:val="3"/>
        <w:ind w:left="840" w:hanging="420" w:firstLineChars="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》2019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>
      <w:pPr>
        <w:pStyle w:val="2"/>
      </w:pPr>
      <w:bookmarkStart w:id="22" w:name="_Toc89805821"/>
      <w:r>
        <w:rPr>
          <w:rFonts w:hint="eastAsia"/>
        </w:rPr>
        <w:t>指标详情</w:t>
      </w:r>
      <w:bookmarkEnd w:id="22"/>
    </w:p>
    <w:p>
      <w:pPr>
        <w:pStyle w:val="4"/>
      </w:pPr>
      <w:bookmarkStart w:id="23" w:name="_Toc89805822"/>
      <w:r>
        <w:rPr>
          <w:rFonts w:hint="eastAsia"/>
        </w:rPr>
        <w:t>规范要求</w:t>
      </w:r>
      <w:bookmarkEnd w:id="2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>GB/T 50378-2019</w:t>
      </w:r>
      <w:r>
        <w:rPr>
          <w:rFonts w:hint="eastAsia"/>
          <w:lang w:val="en-US"/>
        </w:rPr>
        <w:t>中有关降低热岛措施具体要求如下：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24" w:name="_Toc89805823"/>
      <w:r>
        <w:rPr>
          <w:rFonts w:hint="eastAsia"/>
        </w:rPr>
        <w:t>计算方法</w:t>
      </w:r>
      <w:bookmarkEnd w:id="24"/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>
      <w:pPr>
        <w:pStyle w:val="2"/>
      </w:pPr>
      <w:bookmarkStart w:id="25" w:name="_Toc401318141"/>
      <w:bookmarkStart w:id="26" w:name="_Toc89805824"/>
      <w:r>
        <w:rPr>
          <w:rFonts w:hint="eastAsia"/>
        </w:rPr>
        <w:t>指标概览</w:t>
      </w:r>
      <w:bookmarkEnd w:id="25"/>
      <w:bookmarkEnd w:id="26"/>
    </w:p>
    <w:p>
      <w:pPr>
        <w:pStyle w:val="4"/>
      </w:pPr>
      <w:bookmarkStart w:id="27" w:name="_Toc89805825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07"/>
        <w:gridCol w:w="3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tcW w:w="3107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建筑高度(m)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shd w:val="clear" w:color="auto" w:fill="E6E6E6"/>
            <w:vAlign w:val="center"/>
          </w:tcPr>
          <w:p/>
        </w:tc>
        <w:tc>
          <w:tcPr>
            <w:tcW w:w="3107" w:type="dxa"/>
            <w:vAlign w:val="center"/>
          </w:tcPr>
          <w:p>
            <w:r>
              <w:t>11214.6</w:t>
            </w:r>
          </w:p>
        </w:tc>
        <w:tc>
          <w:tcPr>
            <w:tcW w:w="3107" w:type="dxa"/>
            <w:vAlign w:val="center"/>
          </w:tcPr>
          <w:p>
            <w:r>
              <w:t>21.0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8" w:name="建筑列表"/>
      <w:bookmarkEnd w:id="28"/>
    </w:p>
    <w:p>
      <w:pPr>
        <w:pStyle w:val="4"/>
      </w:pPr>
      <w:bookmarkStart w:id="29" w:name="_Toc89805826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4"/>
        <w:gridCol w:w="4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地块(红线)面积(㎡)</w:t>
            </w:r>
          </w:p>
        </w:tc>
        <w:tc>
          <w:tcPr>
            <w:tcW w:w="4239" w:type="dxa"/>
            <w:vAlign w:val="center"/>
          </w:tcPr>
          <w:p>
            <w:r>
              <w:t>62707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tcW w:w="4239" w:type="dxa"/>
            <w:vAlign w:val="center"/>
          </w:tcPr>
          <w:p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tcW w:w="4239" w:type="dxa"/>
            <w:vAlign w:val="center"/>
          </w:tcPr>
          <w:p>
            <w:r>
              <w:t>51493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活动场地总面积(㎡)</w:t>
            </w:r>
          </w:p>
        </w:tc>
        <w:tc>
          <w:tcPr>
            <w:tcW w:w="4239" w:type="dxa"/>
            <w:vAlign w:val="center"/>
          </w:tcPr>
          <w:p>
            <w:r>
              <w:t>8863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乔木总投影面积(㎡)</w:t>
            </w:r>
          </w:p>
        </w:tc>
        <w:tc>
          <w:tcPr>
            <w:tcW w:w="4239" w:type="dxa"/>
            <w:vAlign w:val="center"/>
          </w:tcPr>
          <w:p>
            <w:r>
              <w:t>13758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爬藤总投影面积(㎡)</w:t>
            </w:r>
          </w:p>
        </w:tc>
        <w:tc>
          <w:tcPr>
            <w:tcW w:w="4239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  <w:shd w:val="clear" w:color="auto" w:fill="E6E6E6"/>
            <w:vAlign w:val="center"/>
          </w:tcPr>
          <w:p>
            <w:r>
              <w:t>亭廊总投影面积(㎡)</w:t>
            </w:r>
          </w:p>
        </w:tc>
        <w:tc>
          <w:tcPr>
            <w:tcW w:w="4239" w:type="dxa"/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0" w:name="面积指标"/>
      <w:bookmarkEnd w:id="30"/>
    </w:p>
    <w:p>
      <w:pPr>
        <w:pStyle w:val="2"/>
      </w:pPr>
      <w:bookmarkStart w:id="31" w:name="_Toc89805827"/>
      <w:r>
        <w:rPr>
          <w:rFonts w:hint="eastAsia"/>
        </w:rPr>
        <w:t>计算结果</w:t>
      </w:r>
      <w:bookmarkEnd w:id="31"/>
    </w:p>
    <w:p>
      <w:pPr>
        <w:pStyle w:val="4"/>
      </w:pPr>
      <w:bookmarkStart w:id="32" w:name="_Toc89805828"/>
      <w:r>
        <w:rPr>
          <w:rFonts w:hint="eastAsia"/>
        </w:rPr>
        <w:t>活动场地遮阴率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绿化遮阴(㎡)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构筑物</w:t>
            </w:r>
            <w:r>
              <w:br w:type="textWrapping"/>
            </w:r>
            <w:r>
              <w:t>遮阴(㎡)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日影面积</w:t>
            </w:r>
            <w:r>
              <w:br w:type="textWrapping"/>
            </w:r>
            <w:r>
              <w:t>(㎡)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阴影区外总遮阴面积(㎡)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阴影区外场地面积</w:t>
            </w:r>
            <w:r>
              <w:br w:type="textWrapping"/>
            </w:r>
            <w:r>
              <w:t>(㎡)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遮阴率(%)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  <w:shd w:val="clear" w:color="auto" w:fill="E6E6E6"/>
            <w:vAlign w:val="center"/>
          </w:tcPr>
          <w:p/>
        </w:tc>
        <w:tc>
          <w:tcPr>
            <w:tcW w:w="1165" w:type="dxa"/>
            <w:shd w:val="clear" w:color="auto" w:fill="E6E6E6"/>
            <w:vAlign w:val="center"/>
          </w:tcPr>
          <w:p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r>
              <w:t>亭廊面积</w:t>
            </w:r>
          </w:p>
        </w:tc>
        <w:tc>
          <w:tcPr>
            <w:tcW w:w="1165" w:type="dxa"/>
            <w:vMerge w:val="continue"/>
            <w:shd w:val="clear" w:color="auto" w:fill="E6E6E6"/>
            <w:vAlign w:val="center"/>
          </w:tcPr>
          <w:p/>
        </w:tc>
        <w:tc>
          <w:tcPr>
            <w:tcW w:w="1165" w:type="dxa"/>
            <w:vMerge w:val="continue"/>
            <w:shd w:val="clear" w:color="auto" w:fill="E6E6E6"/>
            <w:vAlign w:val="center"/>
          </w:tcPr>
          <w:p/>
        </w:tc>
        <w:tc>
          <w:tcPr>
            <w:tcW w:w="1165" w:type="dxa"/>
            <w:vMerge w:val="continue"/>
            <w:shd w:val="clear" w:color="auto" w:fill="E6E6E6"/>
            <w:vAlign w:val="center"/>
          </w:tcPr>
          <w:p/>
        </w:tc>
        <w:tc>
          <w:tcPr>
            <w:tcW w:w="1165" w:type="dxa"/>
            <w:vMerge w:val="continue"/>
            <w:shd w:val="clear" w:color="auto" w:fill="E6E6E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165" w:type="dxa"/>
            <w:vAlign w:val="center"/>
          </w:tcPr>
          <w:p>
            <w:r>
              <w:t>1558.8</w:t>
            </w:r>
          </w:p>
        </w:tc>
        <w:tc>
          <w:tcPr>
            <w:tcW w:w="1165" w:type="dxa"/>
            <w:vAlign w:val="center"/>
          </w:tcPr>
          <w:p>
            <w:r>
              <w:t>0.0</w:t>
            </w:r>
          </w:p>
        </w:tc>
        <w:tc>
          <w:tcPr>
            <w:tcW w:w="1165" w:type="dxa"/>
            <w:vAlign w:val="center"/>
          </w:tcPr>
          <w:p>
            <w:r>
              <w:t>0.0</w:t>
            </w:r>
          </w:p>
        </w:tc>
        <w:tc>
          <w:tcPr>
            <w:tcW w:w="1165" w:type="dxa"/>
            <w:vAlign w:val="center"/>
          </w:tcPr>
          <w:p>
            <w:r>
              <w:t>21.0</w:t>
            </w:r>
          </w:p>
        </w:tc>
        <w:tc>
          <w:tcPr>
            <w:tcW w:w="1165" w:type="dxa"/>
            <w:vAlign w:val="center"/>
          </w:tcPr>
          <w:p>
            <w:r>
              <w:t>1238.4</w:t>
            </w:r>
          </w:p>
        </w:tc>
        <w:tc>
          <w:tcPr>
            <w:tcW w:w="1165" w:type="dxa"/>
            <w:vAlign w:val="center"/>
          </w:tcPr>
          <w:p>
            <w:r>
              <w:t>3840.3</w:t>
            </w:r>
          </w:p>
        </w:tc>
        <w:tc>
          <w:tcPr>
            <w:tcW w:w="1165" w:type="dxa"/>
            <w:vAlign w:val="center"/>
          </w:tcPr>
          <w:p>
            <w:r>
              <w:t>32.2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165" w:type="dxa"/>
            <w:vAlign w:val="center"/>
          </w:tcPr>
          <w:p>
            <w:r>
              <w:t>1558.8</w:t>
            </w:r>
          </w:p>
        </w:tc>
        <w:tc>
          <w:tcPr>
            <w:tcW w:w="1165" w:type="dxa"/>
            <w:vAlign w:val="center"/>
          </w:tcPr>
          <w:p>
            <w:r>
              <w:t>0.0</w:t>
            </w:r>
          </w:p>
        </w:tc>
        <w:tc>
          <w:tcPr>
            <w:tcW w:w="1165" w:type="dxa"/>
            <w:vAlign w:val="center"/>
          </w:tcPr>
          <w:p>
            <w:r>
              <w:t>0.0</w:t>
            </w:r>
          </w:p>
        </w:tc>
        <w:tc>
          <w:tcPr>
            <w:tcW w:w="1165" w:type="dxa"/>
            <w:vAlign w:val="center"/>
          </w:tcPr>
          <w:p>
            <w:r>
              <w:t>21.0</w:t>
            </w:r>
          </w:p>
        </w:tc>
        <w:tc>
          <w:tcPr>
            <w:tcW w:w="1165" w:type="dxa"/>
            <w:vAlign w:val="center"/>
          </w:tcPr>
          <w:p>
            <w:r>
              <w:t>1238.4</w:t>
            </w:r>
          </w:p>
        </w:tc>
        <w:tc>
          <w:tcPr>
            <w:tcW w:w="1165" w:type="dxa"/>
            <w:vAlign w:val="center"/>
          </w:tcPr>
          <w:p>
            <w:r>
              <w:t>3840.3</w:t>
            </w:r>
          </w:p>
        </w:tc>
        <w:tc>
          <w:tcPr>
            <w:tcW w:w="1165" w:type="dxa"/>
            <w:vAlign w:val="center"/>
          </w:tcPr>
          <w:p>
            <w:r>
              <w:t>32.2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计算结果"/>
      <w:bookmarkEnd w:id="33"/>
    </w:p>
    <w:p>
      <w:pPr>
        <w:pStyle w:val="3"/>
        <w:ind w:firstLine="420"/>
        <w:jc w:val="center"/>
        <w:rPr>
          <w:lang w:val="en-US"/>
        </w:rPr>
      </w:pPr>
      <w:bookmarkStart w:id="34" w:name="阴影平面图"/>
      <w:bookmarkEnd w:id="34"/>
      <w:r>
        <w:drawing>
          <wp:inline distT="0" distB="0" distL="0" distR="0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>
      <w:pPr>
        <w:pStyle w:val="4"/>
      </w:pPr>
      <w:bookmarkStart w:id="35" w:name="_Toc89805829"/>
      <w:r>
        <w:rPr>
          <w:rFonts w:hint="eastAsia"/>
        </w:rPr>
        <w:t>车道热环境</w:t>
      </w:r>
      <w:r>
        <w:t>指标</w:t>
      </w:r>
      <w:bookmarkEnd w:id="35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建筑阴影外</w:t>
            </w:r>
            <w:r>
              <w:br w:type="textWrapping"/>
            </w:r>
            <w:r>
              <w:t>车道长度(m)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建筑阴影外设有</w:t>
            </w:r>
            <w:r>
              <w:br w:type="textWrapping"/>
            </w:r>
            <w:r>
              <w:t>遮阴行道树的车道长度(m)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建筑阴影外</w:t>
            </w:r>
            <w:r>
              <w:br w:type="textWrapping"/>
            </w:r>
            <w:r>
              <w:t>车道达标长度(m)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vAlign w:val="center"/>
          </w:tcPr>
          <w:p>
            <w:r>
              <w:t>车道1</w:t>
            </w:r>
          </w:p>
        </w:tc>
        <w:tc>
          <w:tcPr>
            <w:tcW w:w="1866" w:type="dxa"/>
            <w:vAlign w:val="center"/>
          </w:tcPr>
          <w:p>
            <w:r>
              <w:t>110.6</w:t>
            </w:r>
          </w:p>
        </w:tc>
        <w:tc>
          <w:tcPr>
            <w:tcW w:w="1866" w:type="dxa"/>
            <w:vAlign w:val="center"/>
          </w:tcPr>
          <w:p>
            <w:r>
              <w:t>0.40</w:t>
            </w:r>
          </w:p>
        </w:tc>
        <w:tc>
          <w:tcPr>
            <w:tcW w:w="1866" w:type="dxa"/>
            <w:vAlign w:val="center"/>
          </w:tcPr>
          <w:p>
            <w:r>
              <w:t>110.6</w:t>
            </w:r>
          </w:p>
        </w:tc>
        <w:tc>
          <w:tcPr>
            <w:tcW w:w="1866" w:type="dxa"/>
            <w:vAlign w:val="center"/>
          </w:tcPr>
          <w:p>
            <w:r>
              <w:t>110.6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vAlign w:val="center"/>
          </w:tcPr>
          <w:p>
            <w:r>
              <w:t>车道1</w:t>
            </w:r>
          </w:p>
        </w:tc>
        <w:tc>
          <w:tcPr>
            <w:tcW w:w="1866" w:type="dxa"/>
            <w:vAlign w:val="center"/>
          </w:tcPr>
          <w:p>
            <w:r>
              <w:t>109.1</w:t>
            </w:r>
          </w:p>
        </w:tc>
        <w:tc>
          <w:tcPr>
            <w:tcW w:w="1866" w:type="dxa"/>
            <w:vAlign w:val="center"/>
          </w:tcPr>
          <w:p>
            <w:r>
              <w:t>0.40</w:t>
            </w:r>
          </w:p>
        </w:tc>
        <w:tc>
          <w:tcPr>
            <w:tcW w:w="1866" w:type="dxa"/>
            <w:vAlign w:val="center"/>
          </w:tcPr>
          <w:p>
            <w:r>
              <w:t>109.1</w:t>
            </w:r>
          </w:p>
        </w:tc>
        <w:tc>
          <w:tcPr>
            <w:tcW w:w="1866" w:type="dxa"/>
            <w:vAlign w:val="center"/>
          </w:tcPr>
          <w:p>
            <w:r>
              <w:t>109.1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vAlign w:val="center"/>
          </w:tcPr>
          <w:p>
            <w:r>
              <w:t>车道1</w:t>
            </w:r>
          </w:p>
        </w:tc>
        <w:tc>
          <w:tcPr>
            <w:tcW w:w="1866" w:type="dxa"/>
            <w:vAlign w:val="center"/>
          </w:tcPr>
          <w:p>
            <w:r>
              <w:t>271.0</w:t>
            </w:r>
          </w:p>
        </w:tc>
        <w:tc>
          <w:tcPr>
            <w:tcW w:w="1866" w:type="dxa"/>
            <w:vAlign w:val="center"/>
          </w:tcPr>
          <w:p>
            <w:r>
              <w:t>0.40</w:t>
            </w:r>
          </w:p>
        </w:tc>
        <w:tc>
          <w:tcPr>
            <w:tcW w:w="1866" w:type="dxa"/>
            <w:vAlign w:val="center"/>
          </w:tcPr>
          <w:p>
            <w:r>
              <w:t>271.0</w:t>
            </w:r>
          </w:p>
        </w:tc>
        <w:tc>
          <w:tcPr>
            <w:tcW w:w="1866" w:type="dxa"/>
            <w:vAlign w:val="center"/>
          </w:tcPr>
          <w:p>
            <w:r>
              <w:t>271.0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vAlign w:val="center"/>
          </w:tcPr>
          <w:p>
            <w:r>
              <w:t>车道1</w:t>
            </w:r>
          </w:p>
        </w:tc>
        <w:tc>
          <w:tcPr>
            <w:tcW w:w="1866" w:type="dxa"/>
            <w:vAlign w:val="center"/>
          </w:tcPr>
          <w:p>
            <w:r>
              <w:t>328.0</w:t>
            </w:r>
          </w:p>
        </w:tc>
        <w:tc>
          <w:tcPr>
            <w:tcW w:w="1866" w:type="dxa"/>
            <w:vAlign w:val="center"/>
          </w:tcPr>
          <w:p>
            <w:r>
              <w:t>0.40</w:t>
            </w:r>
          </w:p>
        </w:tc>
        <w:tc>
          <w:tcPr>
            <w:tcW w:w="1866" w:type="dxa"/>
            <w:vAlign w:val="center"/>
          </w:tcPr>
          <w:p>
            <w:r>
              <w:t>328.0</w:t>
            </w:r>
          </w:p>
        </w:tc>
        <w:tc>
          <w:tcPr>
            <w:tcW w:w="1866" w:type="dxa"/>
            <w:vAlign w:val="center"/>
          </w:tcPr>
          <w:p>
            <w:r>
              <w:t>328.0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818.7</w:t>
            </w:r>
          </w:p>
        </w:tc>
        <w:tc>
          <w:tcPr>
            <w:tcW w:w="1866" w:type="dxa"/>
            <w:vAlign w:val="center"/>
          </w:tcPr>
          <w:p/>
        </w:tc>
        <w:tc>
          <w:tcPr>
            <w:tcW w:w="1866" w:type="dxa"/>
            <w:vAlign w:val="center"/>
          </w:tcPr>
          <w:p>
            <w:r>
              <w:t>818.7</w:t>
            </w:r>
          </w:p>
        </w:tc>
        <w:tc>
          <w:tcPr>
            <w:tcW w:w="1866" w:type="dxa"/>
            <w:vAlign w:val="center"/>
          </w:tcPr>
          <w:p>
            <w:r>
              <w:t>818.7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vAlign w:val="center"/>
          </w:tcPr>
          <w:p>
            <w:r>
              <w:t>总达标比例(%)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100.0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车道遮阴率"/>
      <w:bookmarkEnd w:id="36"/>
    </w:p>
    <w:p>
      <w:pPr>
        <w:pStyle w:val="3"/>
        <w:ind w:firstLine="420"/>
        <w:jc w:val="center"/>
        <w:rPr>
          <w:lang w:val="en-US"/>
        </w:rPr>
      </w:pPr>
      <w:bookmarkStart w:id="37" w:name="车道遮阴率平面图"/>
      <w:bookmarkEnd w:id="37"/>
      <w:r>
        <w:drawing>
          <wp:inline distT="0" distB="0" distL="0" distR="0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>
      <w:pPr>
        <w:pStyle w:val="4"/>
      </w:pPr>
      <w:bookmarkStart w:id="38" w:name="_Toc89805830"/>
      <w:r>
        <w:rPr>
          <w:rFonts w:hint="eastAsia"/>
        </w:rPr>
        <w:t>屋顶热环境</w:t>
      </w:r>
      <w:r>
        <w:t>指标</w:t>
      </w:r>
      <w:bookmarkEnd w:id="3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E6E6E6"/>
            <w:vAlign w:val="center"/>
          </w:tcPr>
          <w:p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>
            <w:pPr>
              <w:jc w:val="center"/>
            </w:pPr>
            <w:r>
              <w:t>屋顶面积</w:t>
            </w:r>
            <w:r>
              <w:br w:type="textWrapping"/>
            </w:r>
            <w:r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>
            <w:pPr>
              <w:jc w:val="center"/>
            </w:pPr>
            <w:r>
              <w:t>屋顶绿化面积</w:t>
            </w:r>
            <w:r>
              <w:br w:type="textWrapping"/>
            </w:r>
            <w:r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太阳能板投影</w:t>
            </w:r>
            <w:r>
              <w:br w:type="textWrapping"/>
            </w:r>
            <w:r>
              <w:t>面积(m2)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太阳辐射反射系数</w:t>
            </w:r>
            <w:r>
              <w:br w:type="textWrapping"/>
            </w:r>
            <w:r>
              <w:t>不小于0.4屋面面积(m2)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>
            <w:pPr>
              <w:jc w:val="center"/>
            </w:pPr>
            <w:r>
              <w:t>屋顶绿化、太阳能板投影及</w:t>
            </w:r>
            <w:r>
              <w:br w:type="textWrapping"/>
            </w:r>
            <w:r>
              <w:t>反射达标面积占屋面比例(%)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/>
        </w:tc>
        <w:tc>
          <w:tcPr>
            <w:tcW w:w="1555" w:type="dxa"/>
            <w:vAlign w:val="center"/>
          </w:tcPr>
          <w:p>
            <w:r>
              <w:t>11214.6</w:t>
            </w:r>
          </w:p>
        </w:tc>
        <w:tc>
          <w:tcPr>
            <w:tcW w:w="1555" w:type="dxa"/>
            <w:vAlign w:val="center"/>
          </w:tcPr>
          <w:p>
            <w:r>
              <w:t>6027.3</w:t>
            </w:r>
          </w:p>
        </w:tc>
        <w:tc>
          <w:tcPr>
            <w:tcW w:w="1555" w:type="dxa"/>
            <w:vAlign w:val="center"/>
          </w:tcPr>
          <w:p>
            <w:r>
              <w:t>0.0</w:t>
            </w:r>
          </w:p>
        </w:tc>
        <w:tc>
          <w:tcPr>
            <w:tcW w:w="1555" w:type="dxa"/>
            <w:vAlign w:val="center"/>
          </w:tcPr>
          <w:p>
            <w:r>
              <w:t>5187.4</w:t>
            </w:r>
          </w:p>
        </w:tc>
        <w:tc>
          <w:tcPr>
            <w:tcW w:w="1555" w:type="dxa"/>
            <w:vAlign w:val="center"/>
          </w:tcPr>
          <w:p>
            <w:r>
              <w:t>100.0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r>
              <w:t>合计</w:t>
            </w:r>
          </w:p>
        </w:tc>
        <w:tc>
          <w:tcPr>
            <w:tcW w:w="1555" w:type="dxa"/>
            <w:vAlign w:val="center"/>
          </w:tcPr>
          <w:p>
            <w:r>
              <w:t>11214.6</w:t>
            </w:r>
          </w:p>
        </w:tc>
        <w:tc>
          <w:tcPr>
            <w:tcW w:w="1555" w:type="dxa"/>
            <w:vAlign w:val="center"/>
          </w:tcPr>
          <w:p>
            <w:r>
              <w:t>6027.3</w:t>
            </w:r>
          </w:p>
        </w:tc>
        <w:tc>
          <w:tcPr>
            <w:tcW w:w="1555" w:type="dxa"/>
            <w:vAlign w:val="center"/>
          </w:tcPr>
          <w:p>
            <w:r>
              <w:t>0.0</w:t>
            </w:r>
          </w:p>
        </w:tc>
        <w:tc>
          <w:tcPr>
            <w:tcW w:w="1555" w:type="dxa"/>
            <w:vAlign w:val="center"/>
          </w:tcPr>
          <w:p>
            <w:r>
              <w:t>5187.4</w:t>
            </w:r>
          </w:p>
        </w:tc>
        <w:tc>
          <w:tcPr>
            <w:tcW w:w="1555" w:type="dxa"/>
            <w:vAlign w:val="center"/>
          </w:tcPr>
          <w:p>
            <w:r>
              <w:t>100.0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屋顶遮阴率"/>
      <w:bookmarkEnd w:id="39"/>
    </w:p>
    <w:p>
      <w:pPr>
        <w:pStyle w:val="2"/>
      </w:pPr>
      <w:bookmarkStart w:id="40" w:name="_Toc89805831"/>
      <w:r>
        <w:rPr>
          <w:rFonts w:hint="eastAsia"/>
        </w:rPr>
        <w:t>评价结论</w:t>
      </w:r>
      <w:bookmarkEnd w:id="40"/>
    </w:p>
    <w:p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活动场地</w:t>
            </w:r>
          </w:p>
          <w:p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1" w:name="活动场地遮阴率值"/>
            <w:r>
              <w:t>32.2%</w:t>
            </w:r>
            <w:bookmarkEnd w:id="41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>
            <w:bookmarkStart w:id="42" w:name="活动场地遮阴率得分"/>
            <w:r>
              <w:t>3</w:t>
            </w:r>
            <w:bookmarkEnd w:id="4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3" w:name="车道遮阴率值"/>
            <w:r>
              <w:t>100.0%</w:t>
            </w:r>
            <w:bookmarkEnd w:id="43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4" w:name="车道遮阴得分"/>
            <w:r>
              <w:t>3</w:t>
            </w:r>
            <w:bookmarkEnd w:id="4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5" w:name="屋顶遮阴率值"/>
            <w:r>
              <w:t>100.0%</w:t>
            </w:r>
            <w:bookmarkEnd w:id="45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6" w:name="屋顶遮阴得分"/>
            <w:r>
              <w:t>4</w:t>
            </w:r>
            <w:bookmarkEnd w:id="4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>
            <w:bookmarkStart w:id="47" w:name="降热措施总得分"/>
            <w:r>
              <w:t>10</w:t>
            </w:r>
            <w:bookmarkEnd w:id="47"/>
          </w:p>
        </w:tc>
      </w:tr>
    </w:tbl>
    <w:p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4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A4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222C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6267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1EA4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2D8A3E79"/>
    <w:rsid w:val="38156E5C"/>
    <w:rsid w:val="3984198A"/>
    <w:rsid w:val="3B0D19C2"/>
    <w:rsid w:val="3BDE11DB"/>
    <w:rsid w:val="498F4640"/>
    <w:rsid w:val="4B804DF0"/>
    <w:rsid w:val="4EA87090"/>
    <w:rsid w:val="4FD10725"/>
    <w:rsid w:val="55F73839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字符"/>
    <w:basedOn w:val="20"/>
    <w:link w:val="15"/>
    <w:qFormat/>
    <w:uiPriority w:val="0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jy0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Company>ths</Company>
  <Pages>1</Pages>
  <Words>535</Words>
  <Characters>3056</Characters>
  <Lines>25</Lines>
  <Paragraphs>7</Paragraphs>
  <TotalTime>0</TotalTime>
  <ScaleCrop>false</ScaleCrop>
  <LinksUpToDate>false</LinksUpToDate>
  <CharactersWithSpaces>3584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2021-12-07T13:43:00Z</dcterms:created>
  <dc:creator>dgjy0</dc:creator>
  <cp:lastModifiedBy>dgjy0</cp:lastModifiedBy>
  <cp:lastPrinted>2411-12-31T16:00:00Z</cp:lastPrinted>
  <dcterms:modified xsi:type="dcterms:W3CDTF">2022-01-02T02:18:53Z</dcterms:modified>
  <dc:title>降低热岛强度措施计算书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5133F74FD14E4311BBAF738583F87DE7</vt:lpwstr>
  </property>
</Properties>
</file>