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lang w:eastAsia="zh-CN"/>
              </w:rPr>
              <w:t>“</w:t>
            </w:r>
            <w:r>
              <w:rPr>
                <w:rFonts w:hint="eastAsia" w:ascii="宋体" w:hAnsi="宋体"/>
                <w:szCs w:val="21"/>
                <w:lang w:val="en-US" w:eastAsia="zh-CN"/>
              </w:rPr>
              <w:t>隐·现</w:t>
            </w:r>
            <w:r>
              <w:rPr>
                <w:rFonts w:hint="eastAsia" w:ascii="宋体" w:hAnsi="宋体"/>
                <w:szCs w:val="21"/>
                <w:lang w:eastAsia="zh-CN"/>
              </w:rPr>
              <w:t>”——</w:t>
            </w:r>
            <w:r>
              <w:rPr>
                <w:rFonts w:hint="eastAsia" w:ascii="宋体" w:hAnsi="宋体"/>
                <w:szCs w:val="21"/>
                <w:lang w:val="en-US" w:eastAsia="zh-CN"/>
              </w:rPr>
              <w:t>疗养活动中心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大连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default" w:ascii="宋体" w:hAnsi="宋体" w:eastAsia="宋体"/>
                <w:szCs w:val="21"/>
                <w:lang w:val="en-US" w:eastAsia="zh-CN"/>
              </w:rPr>
            </w:pPr>
            <w:bookmarkStart w:id="3" w:name="设计编号"/>
            <w:r>
              <w:rPr>
                <w:rFonts w:hint="eastAsia" w:ascii="宋体" w:hAnsi="宋体"/>
                <w:szCs w:val="21"/>
                <w:lang w:val="en-US" w:eastAsia="zh-CN"/>
              </w:rPr>
              <w:t>YB40135</w:t>
            </w:r>
            <w:bookmarkStart w:id="71" w:name="_GoBack"/>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lang w:val="en-US" w:eastAsia="zh-CN"/>
              </w:rPr>
              <w:t>大连理工大学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lang w:val="en-US" w:eastAsia="zh-CN"/>
              </w:rPr>
              <w:t>大连理工大学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default" w:ascii="宋体" w:hAnsi="宋体" w:eastAsia="宋体"/>
                <w:szCs w:val="21"/>
                <w:lang w:val="en-US" w:eastAsia="zh-CN"/>
              </w:rPr>
            </w:pPr>
            <w:r>
              <w:rPr>
                <w:rFonts w:hint="eastAsia" w:ascii="宋体" w:hAnsi="宋体"/>
                <w:szCs w:val="21"/>
                <w:lang w:val="en-US" w:eastAsia="zh-CN"/>
              </w:rPr>
              <w:t>雒童 钟豪杰 邹斯晴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r>
              <w:rPr>
                <w:rFonts w:hint="eastAsia" w:ascii="宋体" w:hAnsi="宋体"/>
                <w:szCs w:val="21"/>
                <w:lang w:val="en-US" w:eastAsia="zh-CN"/>
              </w:rPr>
              <w:t>雒童 钟豪杰 邹斯晴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r>
              <w:rPr>
                <w:rFonts w:hint="eastAsia" w:ascii="宋体" w:hAnsi="宋体"/>
                <w:szCs w:val="21"/>
                <w:lang w:val="en-US" w:eastAsia="zh-CN"/>
              </w:rPr>
              <w:t>雒童 钟豪杰 邹斯晴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r>
              <w:rPr>
                <w:rFonts w:hint="eastAsia" w:ascii="宋体" w:hAnsi="宋体"/>
                <w:szCs w:val="21"/>
                <w:lang w:val="en-US" w:eastAsia="zh-CN"/>
              </w:rPr>
              <w:t>雒童 钟豪杰 邹斯晴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2021年12月30日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_Toc23700 </w:instrText>
      </w:r>
      <w:r>
        <w:rPr>
          <w:rFonts w:ascii="宋体" w:hAnsi="宋体"/>
          <w:bCs w:val="0"/>
          <w:caps/>
        </w:rPr>
        <w:fldChar w:fldCharType="separate"/>
      </w:r>
      <w:r>
        <w:rPr>
          <w:rFonts w:hint="eastAsia"/>
        </w:rPr>
        <w:t>1 项目概况</w:t>
      </w:r>
      <w:r>
        <w:tab/>
      </w:r>
      <w:r>
        <w:fldChar w:fldCharType="begin"/>
      </w:r>
      <w:r>
        <w:instrText xml:space="preserve"> PAGEREF _Toc23700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_Toc26133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_Toc26133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_Toc23958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_Toc23958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_Toc5174 </w:instrText>
      </w:r>
      <w:r>
        <w:fldChar w:fldCharType="separate"/>
      </w:r>
      <w:r>
        <w:rPr>
          <w:rFonts w:hint="eastAsia"/>
        </w:rPr>
        <w:t>2 计算</w:t>
      </w:r>
      <w:r>
        <w:t>依据</w:t>
      </w:r>
      <w:r>
        <w:tab/>
      </w:r>
      <w:r>
        <w:fldChar w:fldCharType="begin"/>
      </w:r>
      <w:r>
        <w:instrText xml:space="preserve"> PAGEREF _Toc5174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_Toc19807 </w:instrText>
      </w:r>
      <w:r>
        <w:fldChar w:fldCharType="separate"/>
      </w:r>
      <w:r>
        <w:rPr>
          <w:rFonts w:hint="eastAsia"/>
        </w:rPr>
        <w:t>3 参考</w:t>
      </w:r>
      <w:r>
        <w:t>标准</w:t>
      </w:r>
      <w:r>
        <w:tab/>
      </w:r>
      <w:r>
        <w:fldChar w:fldCharType="begin"/>
      </w:r>
      <w:r>
        <w:instrText xml:space="preserve"> PAGEREF _Toc19807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_Toc11641 </w:instrText>
      </w:r>
      <w:r>
        <w:fldChar w:fldCharType="separate"/>
      </w:r>
      <w:r>
        <w:rPr>
          <w:rFonts w:hint="eastAsia"/>
        </w:rPr>
        <w:t>4 计算原理</w:t>
      </w:r>
      <w:r>
        <w:tab/>
      </w:r>
      <w:r>
        <w:fldChar w:fldCharType="begin"/>
      </w:r>
      <w:r>
        <w:instrText xml:space="preserve"> PAGEREF _Toc11641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_Toc16987 </w:instrText>
      </w:r>
      <w:r>
        <w:fldChar w:fldCharType="separate"/>
      </w:r>
      <w:r>
        <w:rPr>
          <w:rFonts w:hint="eastAsia"/>
          <w:lang w:val="en-GB"/>
        </w:rPr>
        <w:t xml:space="preserve">4.1 </w:t>
      </w:r>
      <w:r>
        <w:rPr>
          <w:rFonts w:hint="eastAsia"/>
        </w:rPr>
        <w:t>风场计算域</w:t>
      </w:r>
      <w:r>
        <w:tab/>
      </w:r>
      <w:r>
        <w:fldChar w:fldCharType="begin"/>
      </w:r>
      <w:r>
        <w:instrText xml:space="preserve"> PAGEREF _Toc16987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_Toc7252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_Toc7252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_Toc23548 </w:instrText>
      </w:r>
      <w:r>
        <w:fldChar w:fldCharType="separate"/>
      </w:r>
      <w:r>
        <w:rPr>
          <w:rFonts w:hint="eastAsia"/>
          <w:lang w:val="en-GB"/>
        </w:rPr>
        <w:t xml:space="preserve">4.2 </w:t>
      </w:r>
      <w:r>
        <w:rPr>
          <w:rFonts w:hint="eastAsia"/>
        </w:rPr>
        <w:t>网格划分</w:t>
      </w:r>
      <w:r>
        <w:tab/>
      </w:r>
      <w:r>
        <w:fldChar w:fldCharType="begin"/>
      </w:r>
      <w:r>
        <w:instrText xml:space="preserve"> PAGEREF _Toc23548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_Toc11773 </w:instrText>
      </w:r>
      <w:r>
        <w:fldChar w:fldCharType="separate"/>
      </w:r>
      <w:r>
        <w:rPr>
          <w:rFonts w:hint="eastAsia"/>
          <w:lang w:val="en-GB"/>
        </w:rPr>
        <w:t xml:space="preserve">4.3 </w:t>
      </w:r>
      <w:r>
        <w:rPr>
          <w:rFonts w:hint="eastAsia"/>
        </w:rPr>
        <w:t>边界条件</w:t>
      </w:r>
      <w:r>
        <w:tab/>
      </w:r>
      <w:r>
        <w:fldChar w:fldCharType="begin"/>
      </w:r>
      <w:r>
        <w:instrText xml:space="preserve"> PAGEREF _Toc11773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_Toc22529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_Toc22529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_Toc16653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_Toc16653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_Toc15120 </w:instrText>
      </w:r>
      <w:r>
        <w:fldChar w:fldCharType="separate"/>
      </w:r>
      <w:r>
        <w:rPr>
          <w:rFonts w:hint="eastAsia"/>
          <w:lang w:val="en-GB"/>
        </w:rPr>
        <w:t xml:space="preserve">4.4 </w:t>
      </w:r>
      <w:r>
        <w:rPr>
          <w:rFonts w:hint="eastAsia"/>
        </w:rPr>
        <w:t>湍流模型</w:t>
      </w:r>
      <w:r>
        <w:tab/>
      </w:r>
      <w:r>
        <w:fldChar w:fldCharType="begin"/>
      </w:r>
      <w:r>
        <w:instrText xml:space="preserve"> PAGEREF _Toc15120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_Toc11838 </w:instrText>
      </w:r>
      <w:r>
        <w:fldChar w:fldCharType="separate"/>
      </w:r>
      <w:r>
        <w:rPr>
          <w:rFonts w:hint="eastAsia"/>
          <w:lang w:val="en-GB"/>
        </w:rPr>
        <w:t xml:space="preserve">4.5 </w:t>
      </w:r>
      <w:r>
        <w:rPr>
          <w:rFonts w:hint="eastAsia"/>
        </w:rPr>
        <w:t>求解计算</w:t>
      </w:r>
      <w:r>
        <w:tab/>
      </w:r>
      <w:r>
        <w:fldChar w:fldCharType="begin"/>
      </w:r>
      <w:r>
        <w:instrText xml:space="preserve"> PAGEREF _Toc11838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_Toc28417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_Toc28417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_Toc3203 </w:instrText>
      </w:r>
      <w:r>
        <w:fldChar w:fldCharType="separate"/>
      </w:r>
      <w:r>
        <w:rPr>
          <w:rFonts w:hint="eastAsia"/>
        </w:rPr>
        <w:t>5 结果</w:t>
      </w:r>
      <w:r>
        <w:t>分析</w:t>
      </w:r>
      <w:r>
        <w:tab/>
      </w:r>
      <w:r>
        <w:fldChar w:fldCharType="begin"/>
      </w:r>
      <w:r>
        <w:instrText xml:space="preserve"> PAGEREF _Toc3203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_Toc13339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_Toc13339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_Toc29454 </w:instrText>
      </w:r>
      <w:r>
        <w:fldChar w:fldCharType="separate"/>
      </w:r>
      <w:r>
        <w:rPr>
          <w:rFonts w:hint="eastAsia"/>
          <w:lang w:val="en-GB"/>
        </w:rPr>
        <w:t xml:space="preserve">5.2 </w:t>
      </w:r>
      <w:r>
        <w:rPr>
          <w:rFonts w:hint="eastAsia"/>
        </w:rPr>
        <w:t>冬季工况</w:t>
      </w:r>
      <w:r>
        <w:tab/>
      </w:r>
      <w:r>
        <w:fldChar w:fldCharType="begin"/>
      </w:r>
      <w:r>
        <w:instrText xml:space="preserve"> PAGEREF _Toc29454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_Toc2611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_Toc2611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_Toc10556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_Toc10556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_Toc15721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_Toc15721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_Toc4344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_Toc4344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_Toc31287 </w:instrText>
      </w:r>
      <w:r>
        <w:fldChar w:fldCharType="separate"/>
      </w:r>
      <w:r>
        <w:rPr>
          <w:rFonts w:hint="eastAsia"/>
          <w:lang w:val="en-GB"/>
        </w:rPr>
        <w:t xml:space="preserve">5.3 </w:t>
      </w:r>
      <w:r>
        <w:rPr>
          <w:rFonts w:hint="eastAsia"/>
        </w:rPr>
        <w:t>结论</w:t>
      </w:r>
      <w:r>
        <w:tab/>
      </w:r>
      <w:r>
        <w:fldChar w:fldCharType="begin"/>
      </w:r>
      <w:r>
        <w:instrText xml:space="preserve"> PAGEREF _Toc31287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_Toc5675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_Toc5675 \h </w:instrText>
      </w:r>
      <w:r>
        <w:fldChar w:fldCharType="separate"/>
      </w:r>
      <w:r>
        <w:t>17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3700"/>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26133"/>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9525"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23958"/>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5174"/>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19807"/>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1698935"/>
      <w:bookmarkStart w:id="24" w:name="_Toc452108764"/>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11641"/>
      <w:r>
        <w:rPr>
          <w:rFonts w:hint="eastAsia"/>
        </w:rPr>
        <w:t>计算原理</w:t>
      </w:r>
      <w:bookmarkEnd w:id="26"/>
    </w:p>
    <w:p>
      <w:pPr>
        <w:pStyle w:val="4"/>
        <w:numPr>
          <w:ilvl w:val="1"/>
          <w:numId w:val="3"/>
        </w:numPr>
      </w:pPr>
      <w:bookmarkStart w:id="27" w:name="_Toc16987"/>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7252"/>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Z尺寸"/>
            <w:r>
              <w:t>118</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3"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4" w:name="_Toc23548"/>
      <w:bookmarkStart w:id="35" w:name="_Toc509844741"/>
      <w:r>
        <w:rPr>
          <w:rFonts w:hint="eastAsia"/>
        </w:rPr>
        <w:t>网格划分</w:t>
      </w:r>
      <w:bookmarkEnd w:id="34"/>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6" w:name="OLE_LINK276"/>
      <w:bookmarkStart w:id="37" w:name="OLE_LINK277"/>
      <w:r>
        <w:rPr>
          <w:rFonts w:hint="eastAsia"/>
        </w:rPr>
        <w:t>1）普通网格：指除靠近地面和建筑以外的网格，通常不需要特别加密处理</w:t>
      </w:r>
    </w:p>
    <w:p>
      <w:pPr>
        <w:pStyle w:val="12"/>
        <w:numPr>
          <w:ilvl w:val="0"/>
          <w:numId w:val="4"/>
        </w:numPr>
        <w:spacing w:before="156"/>
      </w:pPr>
      <w:bookmarkStart w:id="38"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495339</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pStyle w:val="3"/>
        <w:ind w:firstLine="630" w:firstLineChars="300"/>
        <w:rPr>
          <w:rFonts w:ascii="黑体" w:hAnsi="黑体" w:eastAsia="黑体"/>
          <w:szCs w:val="20"/>
        </w:rPr>
      </w:pPr>
      <w:bookmarkStart w:id="39" w:name="网格划分信息"/>
      <w:bookmarkEnd w:id="39"/>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0" w:name="_Toc11773"/>
      <w:bookmarkStart w:id="41" w:name="_Toc509844742"/>
      <w:r>
        <w:rPr>
          <w:rFonts w:hint="eastAsia"/>
        </w:rPr>
        <w:t>边界条件</w:t>
      </w:r>
      <w:bookmarkEnd w:id="40"/>
      <w:bookmarkEnd w:id="4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2" w:name="_Toc509844743"/>
      <w:bookmarkStart w:id="43" w:name="_Toc22529"/>
      <w:r>
        <w:rPr>
          <w:rFonts w:hint="eastAsia"/>
        </w:rPr>
        <w:t>入口与出口边界条件</w:t>
      </w:r>
      <w:bookmarkEnd w:id="42"/>
      <w:bookmarkEnd w:id="4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4" w:name="地面粗糙度指数2"/>
      <w:r>
        <w:rPr>
          <w:rFonts w:hint="eastAsia"/>
          <w:lang w:val="en-US"/>
        </w:rPr>
        <w:t>0.28</w:t>
      </w:r>
      <w:bookmarkEnd w:id="4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5" w:name="_Toc509844744"/>
      <w:bookmarkStart w:id="46" w:name="_Toc16653"/>
      <w:r>
        <w:rPr>
          <w:rFonts w:hint="eastAsia"/>
        </w:rPr>
        <w:t>壁面边界条件</w:t>
      </w:r>
      <w:bookmarkEnd w:id="45"/>
      <w:bookmarkEnd w:id="4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7" w:name="_Toc15120"/>
      <w:r>
        <w:rPr>
          <w:rFonts w:hint="eastAsia"/>
        </w:rPr>
        <w:t>湍流模型</w:t>
      </w:r>
      <w:bookmarkEnd w:id="4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8" w:name="_Toc11838"/>
      <w:bookmarkStart w:id="49" w:name="_Toc451698939"/>
      <w:bookmarkStart w:id="50" w:name="_Toc452108767"/>
      <w:r>
        <w:rPr>
          <w:rFonts w:hint="eastAsia"/>
        </w:rPr>
        <w:t>求解计算</w:t>
      </w:r>
      <w:bookmarkEnd w:id="48"/>
      <w:bookmarkEnd w:id="49"/>
      <w:bookmarkEnd w:id="50"/>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1"/>
      <w:r>
        <w:rPr>
          <w:rFonts w:hint="eastAsia" w:ascii="黑体" w:hAnsi="黑体" w:eastAsia="黑体"/>
          <w:sz w:val="20"/>
          <w:szCs w:val="20"/>
        </w:rPr>
        <w:t xml:space="preserve"> </w:t>
      </w:r>
      <w:bookmarkStart w:id="52" w:name="_Ref225175618"/>
      <w:r>
        <w:rPr>
          <w:rFonts w:hint="eastAsia" w:ascii="黑体" w:hAnsi="黑体" w:eastAsia="黑体"/>
          <w:sz w:val="20"/>
          <w:szCs w:val="20"/>
        </w:rPr>
        <w:t>计算流体力学的控制方程</w:t>
      </w:r>
      <w:bookmarkEnd w:id="5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3" w:name="_Toc509844747"/>
      <w:bookmarkStart w:id="54" w:name="_Toc28417"/>
      <w:r>
        <w:rPr>
          <w:rFonts w:hint="eastAsia"/>
        </w:rPr>
        <w:t>风速放大系数计算</w:t>
      </w:r>
      <w:bookmarkEnd w:id="53"/>
      <w:bookmarkEnd w:id="5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5" w:name="地面粗糙度指数"/>
      <w:r>
        <w:rPr>
          <w:rFonts w:hint="eastAsia"/>
          <w:lang w:val="en-US"/>
        </w:rPr>
        <w:t>0.28</w:t>
      </w:r>
      <w:bookmarkEnd w:id="5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6" w:name="_Toc452108768"/>
      <w:bookmarkStart w:id="57" w:name="_Toc3203"/>
      <w:r>
        <w:rPr>
          <w:rFonts w:hint="eastAsia"/>
        </w:rPr>
        <w:t>结果</w:t>
      </w:r>
      <w:r>
        <w:t>分析</w:t>
      </w:r>
      <w:bookmarkEnd w:id="56"/>
      <w:bookmarkEnd w:id="57"/>
    </w:p>
    <w:p>
      <w:pPr>
        <w:pStyle w:val="4"/>
        <w:rPr>
          <w:szCs w:val="21"/>
        </w:rPr>
      </w:pPr>
      <w:bookmarkStart w:id="58" w:name="_Toc13339"/>
      <w:r>
        <w:rPr>
          <w:rFonts w:hint="eastAsia"/>
          <w:szCs w:val="21"/>
        </w:rPr>
        <w:t>工况</w:t>
      </w:r>
      <w:r>
        <w:rPr>
          <w:szCs w:val="21"/>
        </w:rPr>
        <w:t>表</w:t>
      </w:r>
      <w:bookmarkEnd w:id="58"/>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59"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7.00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67.5</w:t>
            </w:r>
          </w:p>
        </w:tc>
      </w:tr>
      <w:bookmarkEnd w:id="5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0" w:name="_Toc29454"/>
      <w:r>
        <w:rPr>
          <w:rFonts w:hint="eastAsia"/>
        </w:rPr>
        <w:t>冬季工况</w:t>
      </w:r>
      <w:bookmarkEnd w:id="60"/>
    </w:p>
    <w:p>
      <w:pPr>
        <w:ind w:firstLine="420" w:firstLineChars="200"/>
        <w:jc w:val="both"/>
      </w:pPr>
      <w:r>
        <w:rPr>
          <w:rFonts w:hint="eastAsia"/>
          <w:lang w:val="en-US"/>
        </w:rPr>
        <w:t>本项目冬季工况的入口边界风速为</w:t>
      </w:r>
      <w:r>
        <w:rPr>
          <w:rFonts w:hint="eastAsia" w:ascii="Calibri" w:hAnsi="Calibri"/>
          <w:szCs w:val="21"/>
        </w:rPr>
        <w:t>7.00</w:t>
      </w:r>
      <w:r>
        <w:rPr>
          <w:rFonts w:ascii="Calibri" w:hAnsi="Calibri"/>
          <w:szCs w:val="21"/>
        </w:rPr>
        <w:t>m/s</w:t>
      </w:r>
      <w:r>
        <w:rPr>
          <w:rFonts w:hint="eastAsia" w:ascii="Calibri" w:hAnsi="Calibri"/>
          <w:szCs w:val="21"/>
        </w:rPr>
        <w:t>，风向为</w:t>
      </w:r>
      <w:r>
        <w:rPr>
          <w:szCs w:val="21"/>
        </w:rPr>
        <w:t>NNE</w:t>
      </w:r>
      <w:r>
        <w:rPr>
          <w:rFonts w:hint="eastAsia"/>
          <w:szCs w:val="21"/>
        </w:rPr>
        <w:t>。</w:t>
      </w:r>
    </w:p>
    <w:p>
      <w:pPr>
        <w:pStyle w:val="5"/>
      </w:pPr>
      <w:bookmarkStart w:id="61" w:name="_Toc2611"/>
      <w:r>
        <w:rPr>
          <w:rFonts w:hint="eastAsia"/>
        </w:rPr>
        <w:t>风速达标分析</w:t>
      </w:r>
      <w:bookmarkEnd w:id="61"/>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FF0000"/>
          <w:lang w:val="en-US"/>
        </w:rPr>
        <w:t>出现</w:t>
      </w:r>
      <w:r>
        <w:rPr>
          <w:lang w:val="en-US"/>
        </w:rPr>
        <w:t>风速超限区域，</w:t>
      </w:r>
      <w:r>
        <w:rPr>
          <w:color w:val="FF0000"/>
          <w:lang w:val="en-US"/>
        </w:rPr>
        <w:t>需</w:t>
      </w:r>
      <w:r>
        <w:rPr>
          <w:lang w:val="en-US"/>
        </w:rPr>
        <w:t>酌情调整建筑布局。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2" w:name="_Toc10556"/>
      <w:r>
        <w:rPr>
          <w:rFonts w:hint="eastAsia"/>
        </w:rPr>
        <w:t>风速放大系数达标分析</w:t>
      </w:r>
      <w:bookmarkEnd w:id="62"/>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3" w:name="_Toc509844753"/>
      <w:bookmarkStart w:id="64" w:name="_Toc15721"/>
      <w:r>
        <w:rPr>
          <w:rFonts w:hint="eastAsia" w:cs="宋体"/>
          <w:lang w:val="en-GB"/>
        </w:rPr>
        <w:t>人行区域</w:t>
      </w:r>
      <w:r>
        <w:rPr>
          <w:rFonts w:hint="eastAsia"/>
        </w:rPr>
        <w:t>冬季工况风速/风速放大系数达标判定</w:t>
      </w:r>
      <w:bookmarkEnd w:id="63"/>
      <w:bookmarkEnd w:id="64"/>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bookmarkEnd w:id="14"/>
          </w:p>
          <w:bookmarkEnd w:id="16"/>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是</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7"/>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19"/>
          </w:p>
        </w:tc>
      </w:tr>
      <w:bookmarkEnd w:id="20"/>
      <w:bookmarkEnd w:id="22"/>
      <w:bookmarkEnd w:id="23"/>
      <w:bookmarkEnd w:id="24"/>
    </w:tbl>
    <w:p>
      <w:pPr>
        <w:pStyle w:val="5"/>
      </w:pPr>
      <w:bookmarkStart w:id="65" w:name="_Toc4344"/>
      <w:r>
        <w:rPr>
          <w:rFonts w:hint="eastAsia"/>
        </w:rPr>
        <w:t>建筑迎风面和背风面风压分析</w:t>
      </w:r>
      <w:bookmarkEnd w:id="25"/>
      <w:bookmarkEnd w:id="65"/>
    </w:p>
    <w:p>
      <w:pPr>
        <w:pStyle w:val="3"/>
        <w:ind w:firstLine="420"/>
        <w:rPr>
          <w:lang w:val="en-US"/>
        </w:rPr>
      </w:pPr>
      <w:r>
        <w:rPr>
          <w:rFonts w:hint="eastAsia"/>
          <w:lang w:val="en-US"/>
        </w:rPr>
        <w:t>标准中规定“冬季工况下除迎风第一排建筑外，建筑迎风面与背风面表面风压差不超过5Pa”，避免由于建筑迎风面与背</w:t>
      </w:r>
      <w:bookmarkEnd w:id="28"/>
      <w:r>
        <w:rPr>
          <w:rFonts w:hint="eastAsia"/>
          <w:lang w:val="en-US"/>
        </w:rPr>
        <w:t>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71">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29"/>
    <w:p>
      <w:pPr>
        <w:pStyle w:val="13"/>
        <w:jc w:val="center"/>
        <w:rPr>
          <w:lang w:val="en-US"/>
        </w:rPr>
      </w:pPr>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bookmarkEnd w:id="30"/>
    <w:p>
      <w:pPr>
        <w:pStyle w:val="13"/>
        <w:jc w:val="center"/>
      </w:pPr>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3"/>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-DT单体(风环境模拟12.5)</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eastAsia="宋体"/>
                <w:lang w:val="en-US" w:eastAsia="zh-CN"/>
              </w:rPr>
            </w:pPr>
            <w:r>
              <w:rPr>
                <w:lang w:val="en-US"/>
              </w:rPr>
              <w:t>-</w:t>
            </w:r>
            <w:r>
              <w:rPr>
                <w:rFonts w:hint="eastAsia"/>
                <w:lang w:val="en-US" w:eastAsia="zh-CN"/>
              </w:rPr>
              <w:t>3.12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w:t>
            </w:r>
            <w:r>
              <w:rPr>
                <w:rFonts w:hint="eastAsia"/>
                <w:lang w:val="en-US" w:eastAsia="zh-CN"/>
              </w:rPr>
              <w:t>10</w:t>
            </w:r>
            <w:r>
              <w:rPr>
                <w:lang w:val="en-US"/>
              </w:rPr>
              <w:t>.28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hint="default" w:eastAsia="宋体"/>
                <w:lang w:val="en-US" w:eastAsia="zh-CN"/>
              </w:rPr>
            </w:pPr>
            <w:r>
              <w:rPr>
                <w:rFonts w:hint="eastAsia"/>
                <w:lang w:val="en-US" w:eastAsia="zh-CN"/>
              </w:rPr>
              <w:t>7.16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-8.84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-13.09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-2.86</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-9.28</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6.42</w:t>
            </w:r>
          </w:p>
        </w:tc>
      </w:tr>
    </w:tbl>
    <w:p>
      <w:r>
        <w:t>标准要求：迎背风面窗平均风压差（绝对值）</w:t>
      </w:r>
      <w:r>
        <w:rPr>
          <w:rFonts w:hint="eastAsia"/>
          <w:lang w:val="en-US" w:eastAsia="zh-CN"/>
        </w:rPr>
        <w:t>≥</w:t>
      </w:r>
      <w:r>
        <w:t>5Pa。结论：该楼达标。</w:t>
      </w:r>
    </w:p>
    <w:bookmarkEnd w:id="33"/>
    <w:bookmarkEnd w:id="35"/>
    <w:p>
      <w:pPr>
        <w:jc w:val="center"/>
        <w:rPr>
          <w:rFonts w:ascii="Cambria" w:hAnsi="Cambria" w:eastAsia="黑体"/>
          <w:sz w:val="20"/>
        </w:rPr>
      </w:pPr>
    </w:p>
    <w:bookmarkEnd w:id="36"/>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DT单体(风环境模拟12.5)</w:t>
            </w:r>
          </w:p>
        </w:tc>
        <w:tc>
          <w:tcPr>
            <w:tcW w:w="1276" w:type="dxa"/>
            <w:shd w:val="clear" w:color="auto" w:fill="auto"/>
            <w:vAlign w:val="center"/>
          </w:tcPr>
          <w:p>
            <w:pPr>
              <w:jc w:val="center"/>
              <w:rPr>
                <w:lang w:val="en-US"/>
              </w:rPr>
            </w:pPr>
            <w:r>
              <w:rPr>
                <w:lang w:val="en-US"/>
              </w:rPr>
              <w:t>-2.86</w:t>
            </w:r>
          </w:p>
        </w:tc>
        <w:tc>
          <w:tcPr>
            <w:tcW w:w="1276" w:type="dxa"/>
            <w:shd w:val="clear" w:color="auto" w:fill="auto"/>
            <w:vAlign w:val="center"/>
          </w:tcPr>
          <w:p>
            <w:pPr>
              <w:jc w:val="center"/>
              <w:rPr>
                <w:lang w:val="en-US"/>
              </w:rPr>
            </w:pPr>
            <w:r>
              <w:rPr>
                <w:lang w:val="en-US"/>
              </w:rPr>
              <w:t>-9.28</w:t>
            </w:r>
          </w:p>
        </w:tc>
        <w:tc>
          <w:tcPr>
            <w:tcW w:w="1701" w:type="dxa"/>
            <w:shd w:val="clear" w:color="auto" w:fill="auto"/>
            <w:vAlign w:val="center"/>
          </w:tcPr>
          <w:p>
            <w:pPr>
              <w:jc w:val="center"/>
              <w:rPr>
                <w:lang w:val="en-US"/>
              </w:rPr>
            </w:pPr>
            <w:r>
              <w:rPr>
                <w:color w:val="FF0000"/>
                <w:lang w:val="en-US"/>
              </w:rPr>
              <w:t>6.42</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未命名(429F)</w:t>
            </w:r>
          </w:p>
        </w:tc>
        <w:tc>
          <w:tcPr>
            <w:tcW w:w="1276" w:type="dxa"/>
            <w:shd w:val="clear" w:color="auto" w:fill="auto"/>
            <w:vAlign w:val="center"/>
          </w:tcPr>
          <w:p>
            <w:pPr>
              <w:jc w:val="center"/>
              <w:rPr>
                <w:lang w:val="en-US"/>
              </w:rPr>
            </w:pPr>
            <w:r>
              <w:rPr>
                <w:lang w:val="en-US"/>
              </w:rPr>
              <w:t>1.59</w:t>
            </w:r>
          </w:p>
        </w:tc>
        <w:tc>
          <w:tcPr>
            <w:tcW w:w="1276" w:type="dxa"/>
            <w:shd w:val="clear" w:color="auto" w:fill="auto"/>
            <w:vAlign w:val="center"/>
          </w:tcPr>
          <w:p>
            <w:pPr>
              <w:jc w:val="center"/>
              <w:rPr>
                <w:lang w:val="en-US"/>
              </w:rPr>
            </w:pPr>
            <w:r>
              <w:rPr>
                <w:lang w:val="en-US"/>
              </w:rPr>
              <w:t>-8.28</w:t>
            </w:r>
          </w:p>
        </w:tc>
        <w:tc>
          <w:tcPr>
            <w:tcW w:w="1701" w:type="dxa"/>
            <w:shd w:val="clear" w:color="auto" w:fill="auto"/>
            <w:vAlign w:val="center"/>
          </w:tcPr>
          <w:p>
            <w:pPr>
              <w:jc w:val="center"/>
              <w:rPr>
                <w:lang w:val="en-US"/>
              </w:rPr>
            </w:pPr>
            <w:r>
              <w:rPr>
                <w:color w:val="FF0000"/>
                <w:lang w:val="en-US"/>
              </w:rPr>
              <w:t>9.87</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未命名(42A2)</w:t>
            </w:r>
          </w:p>
        </w:tc>
        <w:tc>
          <w:tcPr>
            <w:tcW w:w="1276" w:type="dxa"/>
            <w:shd w:val="clear" w:color="auto" w:fill="auto"/>
            <w:vAlign w:val="center"/>
          </w:tcPr>
          <w:p>
            <w:pPr>
              <w:jc w:val="center"/>
              <w:rPr>
                <w:lang w:val="en-US"/>
              </w:rPr>
            </w:pPr>
            <w:r>
              <w:rPr>
                <w:lang w:val="en-US"/>
              </w:rPr>
              <w:t>4.68</w:t>
            </w:r>
          </w:p>
        </w:tc>
        <w:tc>
          <w:tcPr>
            <w:tcW w:w="1276" w:type="dxa"/>
            <w:shd w:val="clear" w:color="auto" w:fill="auto"/>
            <w:vAlign w:val="center"/>
          </w:tcPr>
          <w:p>
            <w:pPr>
              <w:jc w:val="center"/>
              <w:rPr>
                <w:lang w:val="en-US"/>
              </w:rPr>
            </w:pPr>
            <w:r>
              <w:rPr>
                <w:lang w:val="en-US"/>
              </w:rPr>
              <w:t>-11.46</w:t>
            </w:r>
          </w:p>
        </w:tc>
        <w:tc>
          <w:tcPr>
            <w:tcW w:w="1701" w:type="dxa"/>
            <w:shd w:val="clear" w:color="auto" w:fill="auto"/>
            <w:vAlign w:val="center"/>
          </w:tcPr>
          <w:p>
            <w:pPr>
              <w:jc w:val="center"/>
              <w:rPr>
                <w:lang w:val="en-US"/>
              </w:rPr>
            </w:pPr>
            <w:r>
              <w:rPr>
                <w:color w:val="FF0000"/>
                <w:lang w:val="en-US"/>
              </w:rPr>
              <w:t>16.14</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未命名(42A5)</w:t>
            </w:r>
          </w:p>
        </w:tc>
        <w:tc>
          <w:tcPr>
            <w:tcW w:w="1276" w:type="dxa"/>
            <w:shd w:val="clear" w:color="auto" w:fill="auto"/>
            <w:vAlign w:val="center"/>
          </w:tcPr>
          <w:p>
            <w:pPr>
              <w:jc w:val="center"/>
              <w:rPr>
                <w:lang w:val="en-US"/>
              </w:rPr>
            </w:pPr>
            <w:r>
              <w:rPr>
                <w:lang w:val="en-US"/>
              </w:rPr>
              <w:t>-9.73</w:t>
            </w:r>
          </w:p>
        </w:tc>
        <w:tc>
          <w:tcPr>
            <w:tcW w:w="1276" w:type="dxa"/>
            <w:shd w:val="clear" w:color="auto" w:fill="auto"/>
            <w:vAlign w:val="center"/>
          </w:tcPr>
          <w:p>
            <w:pPr>
              <w:jc w:val="center"/>
              <w:rPr>
                <w:lang w:val="en-US"/>
              </w:rPr>
            </w:pPr>
            <w:r>
              <w:rPr>
                <w:lang w:val="en-US"/>
              </w:rPr>
              <w:t>-7.31</w:t>
            </w:r>
          </w:p>
        </w:tc>
        <w:tc>
          <w:tcPr>
            <w:tcW w:w="1701" w:type="dxa"/>
            <w:shd w:val="clear" w:color="auto" w:fill="auto"/>
            <w:vAlign w:val="center"/>
          </w:tcPr>
          <w:p>
            <w:pPr>
              <w:jc w:val="center"/>
              <w:rPr>
                <w:lang w:val="en-US"/>
              </w:rPr>
            </w:pPr>
            <w:r>
              <w:rPr>
                <w:lang w:val="en-US"/>
              </w:rPr>
              <w:t>-2.42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未命名(42A8)</w:t>
            </w:r>
          </w:p>
        </w:tc>
        <w:tc>
          <w:tcPr>
            <w:tcW w:w="1276" w:type="dxa"/>
            <w:shd w:val="clear" w:color="auto" w:fill="auto"/>
            <w:vAlign w:val="center"/>
          </w:tcPr>
          <w:p>
            <w:pPr>
              <w:jc w:val="center"/>
              <w:rPr>
                <w:lang w:val="en-US"/>
              </w:rPr>
            </w:pPr>
            <w:r>
              <w:rPr>
                <w:lang w:val="en-US"/>
              </w:rPr>
              <w:t>3.11</w:t>
            </w:r>
          </w:p>
        </w:tc>
        <w:tc>
          <w:tcPr>
            <w:tcW w:w="1276" w:type="dxa"/>
            <w:shd w:val="clear" w:color="auto" w:fill="auto"/>
            <w:vAlign w:val="center"/>
          </w:tcPr>
          <w:p>
            <w:pPr>
              <w:jc w:val="center"/>
              <w:rPr>
                <w:lang w:val="en-US"/>
              </w:rPr>
            </w:pPr>
            <w:r>
              <w:rPr>
                <w:lang w:val="en-US"/>
              </w:rPr>
              <w:t>-2.26</w:t>
            </w:r>
          </w:p>
        </w:tc>
        <w:tc>
          <w:tcPr>
            <w:tcW w:w="1701" w:type="dxa"/>
            <w:shd w:val="clear" w:color="auto" w:fill="auto"/>
            <w:vAlign w:val="center"/>
          </w:tcPr>
          <w:p>
            <w:pPr>
              <w:jc w:val="center"/>
              <w:rPr>
                <w:lang w:val="en-US"/>
              </w:rPr>
            </w:pPr>
            <w:r>
              <w:rPr>
                <w:color w:val="FF0000"/>
                <w:lang w:val="en-US"/>
              </w:rPr>
              <w:t>5.37</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未命名(42AB)</w:t>
            </w:r>
          </w:p>
        </w:tc>
        <w:tc>
          <w:tcPr>
            <w:tcW w:w="1276" w:type="dxa"/>
            <w:shd w:val="clear" w:color="auto" w:fill="auto"/>
            <w:vAlign w:val="center"/>
          </w:tcPr>
          <w:p>
            <w:pPr>
              <w:jc w:val="center"/>
              <w:rPr>
                <w:lang w:val="en-US"/>
              </w:rPr>
            </w:pPr>
            <w:r>
              <w:rPr>
                <w:lang w:val="en-US"/>
              </w:rPr>
              <w:t>2.35</w:t>
            </w:r>
          </w:p>
        </w:tc>
        <w:tc>
          <w:tcPr>
            <w:tcW w:w="1276" w:type="dxa"/>
            <w:shd w:val="clear" w:color="auto" w:fill="auto"/>
            <w:vAlign w:val="center"/>
          </w:tcPr>
          <w:p>
            <w:pPr>
              <w:jc w:val="center"/>
              <w:rPr>
                <w:lang w:val="en-US"/>
              </w:rPr>
            </w:pPr>
            <w:r>
              <w:rPr>
                <w:lang w:val="en-US"/>
              </w:rPr>
              <w:t>1.23</w:t>
            </w:r>
          </w:p>
        </w:tc>
        <w:tc>
          <w:tcPr>
            <w:tcW w:w="1701" w:type="dxa"/>
            <w:shd w:val="clear" w:color="auto" w:fill="auto"/>
            <w:vAlign w:val="center"/>
          </w:tcPr>
          <w:p>
            <w:pPr>
              <w:jc w:val="center"/>
              <w:rPr>
                <w:lang w:val="en-US"/>
              </w:rPr>
            </w:pPr>
            <w:r>
              <w:rPr>
                <w:lang w:val="en-US"/>
              </w:rPr>
              <w:t>1.12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未命名(42AE)</w:t>
            </w:r>
          </w:p>
        </w:tc>
        <w:tc>
          <w:tcPr>
            <w:tcW w:w="1276" w:type="dxa"/>
            <w:shd w:val="clear" w:color="auto" w:fill="auto"/>
            <w:vAlign w:val="center"/>
          </w:tcPr>
          <w:p>
            <w:pPr>
              <w:jc w:val="center"/>
              <w:rPr>
                <w:lang w:val="en-US"/>
              </w:rPr>
            </w:pPr>
            <w:r>
              <w:rPr>
                <w:lang w:val="en-US"/>
              </w:rPr>
              <w:t>-5.46</w:t>
            </w:r>
          </w:p>
        </w:tc>
        <w:tc>
          <w:tcPr>
            <w:tcW w:w="1276" w:type="dxa"/>
            <w:shd w:val="clear" w:color="auto" w:fill="auto"/>
            <w:vAlign w:val="center"/>
          </w:tcPr>
          <w:p>
            <w:pPr>
              <w:jc w:val="center"/>
              <w:rPr>
                <w:lang w:val="en-US"/>
              </w:rPr>
            </w:pPr>
            <w:r>
              <w:rPr>
                <w:lang w:val="en-US"/>
              </w:rPr>
              <w:t>-4.47</w:t>
            </w:r>
          </w:p>
        </w:tc>
        <w:tc>
          <w:tcPr>
            <w:tcW w:w="1701" w:type="dxa"/>
            <w:shd w:val="clear" w:color="auto" w:fill="auto"/>
            <w:vAlign w:val="center"/>
          </w:tcPr>
          <w:p>
            <w:pPr>
              <w:jc w:val="center"/>
              <w:rPr>
                <w:lang w:val="en-US"/>
              </w:rPr>
            </w:pPr>
            <w:r>
              <w:rPr>
                <w:lang w:val="en-US"/>
              </w:rPr>
              <w:t>-0.99</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未命名(42B2)</w:t>
            </w:r>
          </w:p>
        </w:tc>
        <w:tc>
          <w:tcPr>
            <w:tcW w:w="1276" w:type="dxa"/>
            <w:shd w:val="clear" w:color="auto" w:fill="auto"/>
            <w:vAlign w:val="center"/>
          </w:tcPr>
          <w:p>
            <w:pPr>
              <w:jc w:val="center"/>
              <w:rPr>
                <w:lang w:val="en-US"/>
              </w:rPr>
            </w:pPr>
            <w:r>
              <w:rPr>
                <w:lang w:val="en-US"/>
              </w:rPr>
              <w:t>-1.31</w:t>
            </w:r>
          </w:p>
        </w:tc>
        <w:tc>
          <w:tcPr>
            <w:tcW w:w="1276" w:type="dxa"/>
            <w:shd w:val="clear" w:color="auto" w:fill="auto"/>
            <w:vAlign w:val="center"/>
          </w:tcPr>
          <w:p>
            <w:pPr>
              <w:jc w:val="center"/>
              <w:rPr>
                <w:lang w:val="en-US"/>
              </w:rPr>
            </w:pPr>
            <w:r>
              <w:rPr>
                <w:lang w:val="en-US"/>
              </w:rPr>
              <w:t>-8.45</w:t>
            </w:r>
          </w:p>
        </w:tc>
        <w:tc>
          <w:tcPr>
            <w:tcW w:w="1701" w:type="dxa"/>
            <w:shd w:val="clear" w:color="auto" w:fill="auto"/>
            <w:vAlign w:val="center"/>
          </w:tcPr>
          <w:p>
            <w:pPr>
              <w:jc w:val="center"/>
              <w:rPr>
                <w:lang w:val="en-US"/>
              </w:rPr>
            </w:pPr>
            <w:r>
              <w:rPr>
                <w:color w:val="FF0000"/>
                <w:lang w:val="en-US"/>
              </w:rPr>
              <w:t>7.14</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未命名(42B5)</w:t>
            </w:r>
          </w:p>
        </w:tc>
        <w:tc>
          <w:tcPr>
            <w:tcW w:w="1276" w:type="dxa"/>
            <w:shd w:val="clear" w:color="auto" w:fill="auto"/>
            <w:vAlign w:val="center"/>
          </w:tcPr>
          <w:p>
            <w:pPr>
              <w:jc w:val="center"/>
              <w:rPr>
                <w:lang w:val="en-US"/>
              </w:rPr>
            </w:pPr>
            <w:r>
              <w:rPr>
                <w:lang w:val="en-US"/>
              </w:rPr>
              <w:t>-4.14</w:t>
            </w:r>
          </w:p>
        </w:tc>
        <w:tc>
          <w:tcPr>
            <w:tcW w:w="1276" w:type="dxa"/>
            <w:shd w:val="clear" w:color="auto" w:fill="auto"/>
            <w:vAlign w:val="center"/>
          </w:tcPr>
          <w:p>
            <w:pPr>
              <w:jc w:val="center"/>
              <w:rPr>
                <w:lang w:val="en-US"/>
              </w:rPr>
            </w:pPr>
            <w:r>
              <w:rPr>
                <w:lang w:val="en-US"/>
              </w:rPr>
              <w:t>-7.91</w:t>
            </w:r>
          </w:p>
        </w:tc>
        <w:tc>
          <w:tcPr>
            <w:tcW w:w="1701" w:type="dxa"/>
            <w:shd w:val="clear" w:color="auto" w:fill="auto"/>
            <w:vAlign w:val="center"/>
          </w:tcPr>
          <w:p>
            <w:pPr>
              <w:jc w:val="center"/>
              <w:rPr>
                <w:lang w:val="en-US"/>
              </w:rPr>
            </w:pPr>
            <w:r>
              <w:rPr>
                <w:lang w:val="en-US"/>
              </w:rPr>
              <w:t>3.77</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未命名(42BE)</w:t>
            </w:r>
          </w:p>
        </w:tc>
        <w:tc>
          <w:tcPr>
            <w:tcW w:w="1276" w:type="dxa"/>
            <w:shd w:val="clear" w:color="auto" w:fill="auto"/>
            <w:vAlign w:val="center"/>
          </w:tcPr>
          <w:p>
            <w:pPr>
              <w:jc w:val="center"/>
              <w:rPr>
                <w:lang w:val="en-US"/>
              </w:rPr>
            </w:pPr>
            <w:r>
              <w:rPr>
                <w:lang w:val="en-US"/>
              </w:rPr>
              <w:t>0.71</w:t>
            </w:r>
          </w:p>
        </w:tc>
        <w:tc>
          <w:tcPr>
            <w:tcW w:w="1276" w:type="dxa"/>
            <w:shd w:val="clear" w:color="auto" w:fill="auto"/>
            <w:vAlign w:val="center"/>
          </w:tcPr>
          <w:p>
            <w:pPr>
              <w:jc w:val="center"/>
              <w:rPr>
                <w:lang w:val="en-US"/>
              </w:rPr>
            </w:pPr>
            <w:r>
              <w:rPr>
                <w:lang w:val="en-US"/>
              </w:rPr>
              <w:t>-8.28</w:t>
            </w:r>
          </w:p>
        </w:tc>
        <w:tc>
          <w:tcPr>
            <w:tcW w:w="1701" w:type="dxa"/>
            <w:shd w:val="clear" w:color="auto" w:fill="auto"/>
            <w:vAlign w:val="center"/>
          </w:tcPr>
          <w:p>
            <w:pPr>
              <w:jc w:val="center"/>
              <w:rPr>
                <w:lang w:val="en-US"/>
              </w:rPr>
            </w:pPr>
            <w:r>
              <w:rPr>
                <w:color w:val="FF0000"/>
                <w:lang w:val="en-US"/>
              </w:rPr>
              <w:t>8.98</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未命名(42C1)</w:t>
            </w:r>
          </w:p>
        </w:tc>
        <w:tc>
          <w:tcPr>
            <w:tcW w:w="1276" w:type="dxa"/>
            <w:shd w:val="clear" w:color="auto" w:fill="auto"/>
            <w:vAlign w:val="center"/>
          </w:tcPr>
          <w:p>
            <w:pPr>
              <w:jc w:val="center"/>
              <w:rPr>
                <w:lang w:val="en-US"/>
              </w:rPr>
            </w:pPr>
            <w:r>
              <w:rPr>
                <w:lang w:val="en-US"/>
              </w:rPr>
              <w:t>-1.47</w:t>
            </w:r>
          </w:p>
        </w:tc>
        <w:tc>
          <w:tcPr>
            <w:tcW w:w="1276" w:type="dxa"/>
            <w:shd w:val="clear" w:color="auto" w:fill="auto"/>
            <w:vAlign w:val="center"/>
          </w:tcPr>
          <w:p>
            <w:pPr>
              <w:jc w:val="center"/>
              <w:rPr>
                <w:lang w:val="en-US"/>
              </w:rPr>
            </w:pPr>
            <w:r>
              <w:rPr>
                <w:lang w:val="en-US"/>
              </w:rPr>
              <w:t>-6.85</w:t>
            </w:r>
          </w:p>
        </w:tc>
        <w:tc>
          <w:tcPr>
            <w:tcW w:w="1701" w:type="dxa"/>
            <w:shd w:val="clear" w:color="auto" w:fill="auto"/>
            <w:vAlign w:val="center"/>
          </w:tcPr>
          <w:p>
            <w:pPr>
              <w:jc w:val="center"/>
              <w:rPr>
                <w:lang w:val="en-US"/>
              </w:rPr>
            </w:pPr>
            <w:r>
              <w:rPr>
                <w:color w:val="FF0000"/>
                <w:lang w:val="en-US"/>
              </w:rPr>
              <w:t>5.38</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未命名(42C4)</w:t>
            </w:r>
          </w:p>
        </w:tc>
        <w:tc>
          <w:tcPr>
            <w:tcW w:w="1276" w:type="dxa"/>
            <w:shd w:val="clear" w:color="auto" w:fill="auto"/>
            <w:vAlign w:val="center"/>
          </w:tcPr>
          <w:p>
            <w:pPr>
              <w:jc w:val="center"/>
              <w:rPr>
                <w:lang w:val="en-US"/>
              </w:rPr>
            </w:pPr>
            <w:r>
              <w:rPr>
                <w:lang w:val="en-US"/>
              </w:rPr>
              <w:t>-2.37</w:t>
            </w:r>
          </w:p>
        </w:tc>
        <w:tc>
          <w:tcPr>
            <w:tcW w:w="1276" w:type="dxa"/>
            <w:shd w:val="clear" w:color="auto" w:fill="auto"/>
            <w:vAlign w:val="center"/>
          </w:tcPr>
          <w:p>
            <w:pPr>
              <w:jc w:val="center"/>
              <w:rPr>
                <w:lang w:val="en-US"/>
              </w:rPr>
            </w:pPr>
            <w:r>
              <w:rPr>
                <w:lang w:val="en-US"/>
              </w:rPr>
              <w:t>-5.06</w:t>
            </w:r>
          </w:p>
        </w:tc>
        <w:tc>
          <w:tcPr>
            <w:tcW w:w="1701" w:type="dxa"/>
            <w:shd w:val="clear" w:color="auto" w:fill="auto"/>
            <w:vAlign w:val="center"/>
          </w:tcPr>
          <w:p>
            <w:pPr>
              <w:jc w:val="center"/>
              <w:rPr>
                <w:lang w:val="en-US"/>
              </w:rPr>
            </w:pPr>
            <w:r>
              <w:rPr>
                <w:lang w:val="en-US"/>
              </w:rPr>
              <w:t>2.69</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未命名(42C8)</w:t>
            </w:r>
          </w:p>
        </w:tc>
        <w:tc>
          <w:tcPr>
            <w:tcW w:w="1276" w:type="dxa"/>
            <w:shd w:val="clear" w:color="auto" w:fill="auto"/>
            <w:vAlign w:val="center"/>
          </w:tcPr>
          <w:p>
            <w:pPr>
              <w:jc w:val="center"/>
              <w:rPr>
                <w:lang w:val="en-US"/>
              </w:rPr>
            </w:pPr>
            <w:r>
              <w:rPr>
                <w:lang w:val="en-US"/>
              </w:rPr>
              <w:t>0.26</w:t>
            </w:r>
          </w:p>
        </w:tc>
        <w:tc>
          <w:tcPr>
            <w:tcW w:w="1276" w:type="dxa"/>
            <w:shd w:val="clear" w:color="auto" w:fill="auto"/>
            <w:vAlign w:val="center"/>
          </w:tcPr>
          <w:p>
            <w:pPr>
              <w:jc w:val="center"/>
              <w:rPr>
                <w:lang w:val="en-US"/>
              </w:rPr>
            </w:pPr>
            <w:r>
              <w:rPr>
                <w:lang w:val="en-US"/>
              </w:rPr>
              <w:t>-2.87</w:t>
            </w:r>
          </w:p>
        </w:tc>
        <w:tc>
          <w:tcPr>
            <w:tcW w:w="1701" w:type="dxa"/>
            <w:shd w:val="clear" w:color="auto" w:fill="auto"/>
            <w:vAlign w:val="center"/>
          </w:tcPr>
          <w:p>
            <w:pPr>
              <w:jc w:val="center"/>
              <w:rPr>
                <w:lang w:val="en-US"/>
              </w:rPr>
            </w:pPr>
            <w:r>
              <w:rPr>
                <w:lang w:val="en-US"/>
              </w:rPr>
              <w:t>3.13</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未命名(42CB)</w:t>
            </w:r>
          </w:p>
        </w:tc>
        <w:tc>
          <w:tcPr>
            <w:tcW w:w="1276" w:type="dxa"/>
            <w:shd w:val="clear" w:color="auto" w:fill="auto"/>
            <w:vAlign w:val="center"/>
          </w:tcPr>
          <w:p>
            <w:pPr>
              <w:jc w:val="center"/>
              <w:rPr>
                <w:lang w:val="en-US"/>
              </w:rPr>
            </w:pPr>
            <w:r>
              <w:rPr>
                <w:lang w:val="en-US"/>
              </w:rPr>
              <w:t>0.26</w:t>
            </w:r>
          </w:p>
        </w:tc>
        <w:tc>
          <w:tcPr>
            <w:tcW w:w="1276" w:type="dxa"/>
            <w:shd w:val="clear" w:color="auto" w:fill="auto"/>
            <w:vAlign w:val="center"/>
          </w:tcPr>
          <w:p>
            <w:pPr>
              <w:jc w:val="center"/>
              <w:rPr>
                <w:lang w:val="en-US"/>
              </w:rPr>
            </w:pPr>
            <w:r>
              <w:rPr>
                <w:lang w:val="en-US"/>
              </w:rPr>
              <w:t>-3.34</w:t>
            </w:r>
          </w:p>
        </w:tc>
        <w:tc>
          <w:tcPr>
            <w:tcW w:w="1701" w:type="dxa"/>
            <w:shd w:val="clear" w:color="auto" w:fill="auto"/>
            <w:vAlign w:val="center"/>
          </w:tcPr>
          <w:p>
            <w:pPr>
              <w:jc w:val="center"/>
              <w:rPr>
                <w:lang w:val="en-US"/>
              </w:rPr>
            </w:pPr>
            <w:r>
              <w:rPr>
                <w:lang w:val="en-US"/>
              </w:rPr>
              <w:t>3.61</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未命名(42CE)</w:t>
            </w:r>
          </w:p>
        </w:tc>
        <w:tc>
          <w:tcPr>
            <w:tcW w:w="1276" w:type="dxa"/>
            <w:shd w:val="clear" w:color="auto" w:fill="auto"/>
            <w:vAlign w:val="center"/>
          </w:tcPr>
          <w:p>
            <w:pPr>
              <w:jc w:val="center"/>
              <w:rPr>
                <w:lang w:val="en-US"/>
              </w:rPr>
            </w:pPr>
            <w:r>
              <w:rPr>
                <w:lang w:val="en-US"/>
              </w:rPr>
              <w:t>-0.26</w:t>
            </w:r>
          </w:p>
        </w:tc>
        <w:tc>
          <w:tcPr>
            <w:tcW w:w="1276" w:type="dxa"/>
            <w:shd w:val="clear" w:color="auto" w:fill="auto"/>
            <w:vAlign w:val="center"/>
          </w:tcPr>
          <w:p>
            <w:pPr>
              <w:jc w:val="center"/>
              <w:rPr>
                <w:lang w:val="en-US"/>
              </w:rPr>
            </w:pPr>
            <w:r>
              <w:rPr>
                <w:lang w:val="en-US"/>
              </w:rPr>
              <w:t>-10.00</w:t>
            </w:r>
          </w:p>
        </w:tc>
        <w:tc>
          <w:tcPr>
            <w:tcW w:w="1701" w:type="dxa"/>
            <w:shd w:val="clear" w:color="auto" w:fill="auto"/>
            <w:vAlign w:val="center"/>
          </w:tcPr>
          <w:p>
            <w:pPr>
              <w:jc w:val="center"/>
              <w:rPr>
                <w:lang w:val="en-US"/>
              </w:rPr>
            </w:pPr>
            <w:r>
              <w:rPr>
                <w:color w:val="FF0000"/>
                <w:lang w:val="en-US"/>
              </w:rPr>
              <w:t>9.74</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未命名(42D1)</w:t>
            </w:r>
          </w:p>
        </w:tc>
        <w:tc>
          <w:tcPr>
            <w:tcW w:w="1276" w:type="dxa"/>
            <w:shd w:val="clear" w:color="auto" w:fill="auto"/>
            <w:vAlign w:val="center"/>
          </w:tcPr>
          <w:p>
            <w:pPr>
              <w:jc w:val="center"/>
              <w:rPr>
                <w:lang w:val="en-US"/>
              </w:rPr>
            </w:pPr>
            <w:r>
              <w:rPr>
                <w:lang w:val="en-US"/>
              </w:rPr>
              <w:t>-4.73</w:t>
            </w:r>
          </w:p>
        </w:tc>
        <w:tc>
          <w:tcPr>
            <w:tcW w:w="1276" w:type="dxa"/>
            <w:shd w:val="clear" w:color="auto" w:fill="auto"/>
            <w:vAlign w:val="center"/>
          </w:tcPr>
          <w:p>
            <w:pPr>
              <w:jc w:val="center"/>
              <w:rPr>
                <w:lang w:val="en-US"/>
              </w:rPr>
            </w:pPr>
            <w:r>
              <w:rPr>
                <w:lang w:val="en-US"/>
              </w:rPr>
              <w:t>-5.50</w:t>
            </w:r>
          </w:p>
        </w:tc>
        <w:tc>
          <w:tcPr>
            <w:tcW w:w="1701" w:type="dxa"/>
            <w:shd w:val="clear" w:color="auto" w:fill="auto"/>
            <w:vAlign w:val="center"/>
          </w:tcPr>
          <w:p>
            <w:pPr>
              <w:jc w:val="center"/>
              <w:rPr>
                <w:lang w:val="en-US"/>
              </w:rPr>
            </w:pPr>
            <w:r>
              <w:rPr>
                <w:lang w:val="en-US"/>
              </w:rPr>
              <w:t>0.77</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未命名(42D4)</w:t>
            </w:r>
          </w:p>
        </w:tc>
        <w:tc>
          <w:tcPr>
            <w:tcW w:w="1276" w:type="dxa"/>
            <w:shd w:val="clear" w:color="auto" w:fill="auto"/>
            <w:vAlign w:val="center"/>
          </w:tcPr>
          <w:p>
            <w:pPr>
              <w:jc w:val="center"/>
              <w:rPr>
                <w:lang w:val="en-US"/>
              </w:rPr>
            </w:pPr>
            <w:r>
              <w:rPr>
                <w:lang w:val="en-US"/>
              </w:rPr>
              <w:t>-11.59</w:t>
            </w:r>
          </w:p>
        </w:tc>
        <w:tc>
          <w:tcPr>
            <w:tcW w:w="1276" w:type="dxa"/>
            <w:shd w:val="clear" w:color="auto" w:fill="auto"/>
            <w:vAlign w:val="center"/>
          </w:tcPr>
          <w:p>
            <w:pPr>
              <w:jc w:val="center"/>
              <w:rPr>
                <w:lang w:val="en-US"/>
              </w:rPr>
            </w:pPr>
            <w:r>
              <w:rPr>
                <w:lang w:val="en-US"/>
              </w:rPr>
              <w:t>-10.34</w:t>
            </w:r>
          </w:p>
        </w:tc>
        <w:tc>
          <w:tcPr>
            <w:tcW w:w="1701" w:type="dxa"/>
            <w:shd w:val="clear" w:color="auto" w:fill="auto"/>
            <w:vAlign w:val="center"/>
          </w:tcPr>
          <w:p>
            <w:pPr>
              <w:jc w:val="center"/>
              <w:rPr>
                <w:lang w:val="en-US"/>
              </w:rPr>
            </w:pPr>
            <w:r>
              <w:rPr>
                <w:lang w:val="en-US"/>
              </w:rPr>
              <w:t>-1.25</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未命名(42D7)</w:t>
            </w:r>
          </w:p>
        </w:tc>
        <w:tc>
          <w:tcPr>
            <w:tcW w:w="1276" w:type="dxa"/>
            <w:shd w:val="clear" w:color="auto" w:fill="auto"/>
            <w:vAlign w:val="center"/>
          </w:tcPr>
          <w:p>
            <w:pPr>
              <w:jc w:val="center"/>
              <w:rPr>
                <w:lang w:val="en-US"/>
              </w:rPr>
            </w:pPr>
            <w:r>
              <w:rPr>
                <w:lang w:val="en-US"/>
              </w:rPr>
              <w:t>0.62</w:t>
            </w:r>
          </w:p>
        </w:tc>
        <w:tc>
          <w:tcPr>
            <w:tcW w:w="1276" w:type="dxa"/>
            <w:shd w:val="clear" w:color="auto" w:fill="auto"/>
            <w:vAlign w:val="center"/>
          </w:tcPr>
          <w:p>
            <w:pPr>
              <w:jc w:val="center"/>
              <w:rPr>
                <w:lang w:val="en-US"/>
              </w:rPr>
            </w:pPr>
            <w:r>
              <w:rPr>
                <w:lang w:val="en-US"/>
              </w:rPr>
              <w:t>0.02</w:t>
            </w:r>
          </w:p>
        </w:tc>
        <w:tc>
          <w:tcPr>
            <w:tcW w:w="1701" w:type="dxa"/>
            <w:shd w:val="clear" w:color="auto" w:fill="auto"/>
            <w:vAlign w:val="center"/>
          </w:tcPr>
          <w:p>
            <w:pPr>
              <w:jc w:val="center"/>
              <w:rPr>
                <w:lang w:val="en-US"/>
              </w:rPr>
            </w:pPr>
            <w:r>
              <w:rPr>
                <w:lang w:val="en-US"/>
              </w:rPr>
              <w:t>0.60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未命名(42DA)</w:t>
            </w:r>
          </w:p>
        </w:tc>
        <w:tc>
          <w:tcPr>
            <w:tcW w:w="1276" w:type="dxa"/>
            <w:shd w:val="clear" w:color="auto" w:fill="auto"/>
            <w:vAlign w:val="center"/>
          </w:tcPr>
          <w:p>
            <w:pPr>
              <w:jc w:val="center"/>
              <w:rPr>
                <w:lang w:val="en-US"/>
              </w:rPr>
            </w:pPr>
            <w:r>
              <w:rPr>
                <w:lang w:val="en-US"/>
              </w:rPr>
              <w:t>11.12</w:t>
            </w:r>
          </w:p>
        </w:tc>
        <w:tc>
          <w:tcPr>
            <w:tcW w:w="1276" w:type="dxa"/>
            <w:shd w:val="clear" w:color="auto" w:fill="auto"/>
            <w:vAlign w:val="center"/>
          </w:tcPr>
          <w:p>
            <w:pPr>
              <w:jc w:val="center"/>
              <w:rPr>
                <w:lang w:val="en-US"/>
              </w:rPr>
            </w:pPr>
            <w:r>
              <w:rPr>
                <w:lang w:val="en-US"/>
              </w:rPr>
              <w:t>-9.93</w:t>
            </w:r>
          </w:p>
        </w:tc>
        <w:tc>
          <w:tcPr>
            <w:tcW w:w="1701" w:type="dxa"/>
            <w:shd w:val="clear" w:color="auto" w:fill="auto"/>
            <w:vAlign w:val="center"/>
          </w:tcPr>
          <w:p>
            <w:pPr>
              <w:jc w:val="center"/>
              <w:rPr>
                <w:lang w:val="en-US"/>
              </w:rPr>
            </w:pPr>
            <w:r>
              <w:rPr>
                <w:color w:val="FF0000"/>
                <w:lang w:val="en-US"/>
              </w:rPr>
              <w:t>21.05</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未命名(42DD)</w:t>
            </w:r>
          </w:p>
        </w:tc>
        <w:tc>
          <w:tcPr>
            <w:tcW w:w="1276" w:type="dxa"/>
            <w:shd w:val="clear" w:color="auto" w:fill="auto"/>
            <w:vAlign w:val="center"/>
          </w:tcPr>
          <w:p>
            <w:pPr>
              <w:jc w:val="center"/>
              <w:rPr>
                <w:lang w:val="en-US"/>
              </w:rPr>
            </w:pPr>
            <w:r>
              <w:rPr>
                <w:lang w:val="en-US"/>
              </w:rPr>
              <w:t>0.78</w:t>
            </w:r>
          </w:p>
        </w:tc>
        <w:tc>
          <w:tcPr>
            <w:tcW w:w="1276" w:type="dxa"/>
            <w:shd w:val="clear" w:color="auto" w:fill="auto"/>
            <w:vAlign w:val="center"/>
          </w:tcPr>
          <w:p>
            <w:pPr>
              <w:jc w:val="center"/>
              <w:rPr>
                <w:lang w:val="en-US"/>
              </w:rPr>
            </w:pPr>
            <w:r>
              <w:rPr>
                <w:lang w:val="en-US"/>
              </w:rPr>
              <w:t>-3.40</w:t>
            </w:r>
          </w:p>
        </w:tc>
        <w:tc>
          <w:tcPr>
            <w:tcW w:w="1701" w:type="dxa"/>
            <w:shd w:val="clear" w:color="auto" w:fill="auto"/>
            <w:vAlign w:val="center"/>
          </w:tcPr>
          <w:p>
            <w:pPr>
              <w:jc w:val="center"/>
              <w:rPr>
                <w:lang w:val="en-US"/>
              </w:rPr>
            </w:pPr>
            <w:r>
              <w:rPr>
                <w:lang w:val="en-US"/>
              </w:rPr>
              <w:t>4.17</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未命名(42E0)</w:t>
            </w:r>
          </w:p>
        </w:tc>
        <w:tc>
          <w:tcPr>
            <w:tcW w:w="1276" w:type="dxa"/>
            <w:shd w:val="clear" w:color="auto" w:fill="auto"/>
            <w:vAlign w:val="center"/>
          </w:tcPr>
          <w:p>
            <w:pPr>
              <w:jc w:val="center"/>
              <w:rPr>
                <w:lang w:val="en-US"/>
              </w:rPr>
            </w:pPr>
            <w:r>
              <w:rPr>
                <w:lang w:val="en-US"/>
              </w:rPr>
              <w:t>1.04</w:t>
            </w:r>
          </w:p>
        </w:tc>
        <w:tc>
          <w:tcPr>
            <w:tcW w:w="1276" w:type="dxa"/>
            <w:shd w:val="clear" w:color="auto" w:fill="auto"/>
            <w:vAlign w:val="center"/>
          </w:tcPr>
          <w:p>
            <w:pPr>
              <w:jc w:val="center"/>
              <w:rPr>
                <w:lang w:val="en-US"/>
              </w:rPr>
            </w:pPr>
            <w:r>
              <w:rPr>
                <w:lang w:val="en-US"/>
              </w:rPr>
              <w:t>-4.21</w:t>
            </w:r>
          </w:p>
        </w:tc>
        <w:tc>
          <w:tcPr>
            <w:tcW w:w="1701" w:type="dxa"/>
            <w:shd w:val="clear" w:color="auto" w:fill="auto"/>
            <w:vAlign w:val="center"/>
          </w:tcPr>
          <w:p>
            <w:pPr>
              <w:jc w:val="center"/>
              <w:rPr>
                <w:lang w:val="en-US"/>
              </w:rPr>
            </w:pPr>
            <w:r>
              <w:rPr>
                <w:color w:val="FF0000"/>
                <w:lang w:val="en-US"/>
              </w:rPr>
              <w:t>5.25</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未命名(42E3)</w:t>
            </w:r>
          </w:p>
        </w:tc>
        <w:tc>
          <w:tcPr>
            <w:tcW w:w="1276" w:type="dxa"/>
            <w:shd w:val="clear" w:color="auto" w:fill="auto"/>
            <w:vAlign w:val="center"/>
          </w:tcPr>
          <w:p>
            <w:pPr>
              <w:jc w:val="center"/>
              <w:rPr>
                <w:lang w:val="en-US"/>
              </w:rPr>
            </w:pPr>
            <w:r>
              <w:rPr>
                <w:lang w:val="en-US"/>
              </w:rPr>
              <w:t>-7.45</w:t>
            </w:r>
          </w:p>
        </w:tc>
        <w:tc>
          <w:tcPr>
            <w:tcW w:w="1276" w:type="dxa"/>
            <w:shd w:val="clear" w:color="auto" w:fill="auto"/>
            <w:vAlign w:val="center"/>
          </w:tcPr>
          <w:p>
            <w:pPr>
              <w:jc w:val="center"/>
              <w:rPr>
                <w:lang w:val="en-US"/>
              </w:rPr>
            </w:pPr>
            <w:r>
              <w:rPr>
                <w:lang w:val="en-US"/>
              </w:rPr>
              <w:t>-7.64</w:t>
            </w:r>
          </w:p>
        </w:tc>
        <w:tc>
          <w:tcPr>
            <w:tcW w:w="1701" w:type="dxa"/>
            <w:shd w:val="clear" w:color="auto" w:fill="auto"/>
            <w:vAlign w:val="center"/>
          </w:tcPr>
          <w:p>
            <w:pPr>
              <w:jc w:val="center"/>
              <w:rPr>
                <w:lang w:val="en-US"/>
              </w:rPr>
            </w:pPr>
            <w:r>
              <w:rPr>
                <w:lang w:val="en-US"/>
              </w:rPr>
              <w:t>0.19</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未命名(42E7)</w:t>
            </w:r>
          </w:p>
        </w:tc>
        <w:tc>
          <w:tcPr>
            <w:tcW w:w="1276" w:type="dxa"/>
            <w:shd w:val="clear" w:color="auto" w:fill="auto"/>
            <w:vAlign w:val="center"/>
          </w:tcPr>
          <w:p>
            <w:pPr>
              <w:jc w:val="center"/>
              <w:rPr>
                <w:lang w:val="en-US"/>
              </w:rPr>
            </w:pPr>
            <w:r>
              <w:rPr>
                <w:lang w:val="en-US"/>
              </w:rPr>
              <w:t>-2.74</w:t>
            </w:r>
          </w:p>
        </w:tc>
        <w:tc>
          <w:tcPr>
            <w:tcW w:w="1276" w:type="dxa"/>
            <w:shd w:val="clear" w:color="auto" w:fill="auto"/>
            <w:vAlign w:val="center"/>
          </w:tcPr>
          <w:p>
            <w:pPr>
              <w:jc w:val="center"/>
              <w:rPr>
                <w:lang w:val="en-US"/>
              </w:rPr>
            </w:pPr>
            <w:r>
              <w:rPr>
                <w:lang w:val="en-US"/>
              </w:rPr>
              <w:t>3.24</w:t>
            </w:r>
          </w:p>
        </w:tc>
        <w:tc>
          <w:tcPr>
            <w:tcW w:w="1701" w:type="dxa"/>
            <w:shd w:val="clear" w:color="auto" w:fill="auto"/>
            <w:vAlign w:val="center"/>
          </w:tcPr>
          <w:p>
            <w:pPr>
              <w:jc w:val="center"/>
              <w:rPr>
                <w:lang w:val="en-US"/>
              </w:rPr>
            </w:pPr>
            <w:r>
              <w:rPr>
                <w:color w:val="FF0000"/>
                <w:lang w:val="en-US"/>
              </w:rPr>
              <w:t>-5.97</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未命名(42EA)</w:t>
            </w:r>
          </w:p>
        </w:tc>
        <w:tc>
          <w:tcPr>
            <w:tcW w:w="1276" w:type="dxa"/>
            <w:shd w:val="clear" w:color="auto" w:fill="auto"/>
            <w:vAlign w:val="center"/>
          </w:tcPr>
          <w:p>
            <w:pPr>
              <w:jc w:val="center"/>
              <w:rPr>
                <w:lang w:val="en-US"/>
              </w:rPr>
            </w:pPr>
            <w:r>
              <w:rPr>
                <w:lang w:val="en-US"/>
              </w:rPr>
              <w:t>-2.76</w:t>
            </w:r>
          </w:p>
        </w:tc>
        <w:tc>
          <w:tcPr>
            <w:tcW w:w="1276" w:type="dxa"/>
            <w:shd w:val="clear" w:color="auto" w:fill="auto"/>
            <w:vAlign w:val="center"/>
          </w:tcPr>
          <w:p>
            <w:pPr>
              <w:jc w:val="center"/>
              <w:rPr>
                <w:lang w:val="en-US"/>
              </w:rPr>
            </w:pPr>
            <w:r>
              <w:rPr>
                <w:lang w:val="en-US"/>
              </w:rPr>
              <w:t>-3.29</w:t>
            </w:r>
          </w:p>
        </w:tc>
        <w:tc>
          <w:tcPr>
            <w:tcW w:w="1701" w:type="dxa"/>
            <w:shd w:val="clear" w:color="auto" w:fill="auto"/>
            <w:vAlign w:val="center"/>
          </w:tcPr>
          <w:p>
            <w:pPr>
              <w:jc w:val="center"/>
              <w:rPr>
                <w:lang w:val="en-US"/>
              </w:rPr>
            </w:pPr>
            <w:r>
              <w:rPr>
                <w:lang w:val="en-US"/>
              </w:rPr>
              <w:t>0.53</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未命名(42ED)</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未命名(53A0)</w:t>
            </w:r>
          </w:p>
        </w:tc>
        <w:tc>
          <w:tcPr>
            <w:tcW w:w="1276" w:type="dxa"/>
            <w:shd w:val="clear" w:color="auto" w:fill="auto"/>
            <w:vAlign w:val="center"/>
          </w:tcPr>
          <w:p>
            <w:pPr>
              <w:jc w:val="center"/>
              <w:rPr>
                <w:lang w:val="en-US"/>
              </w:rPr>
            </w:pPr>
            <w:r>
              <w:rPr>
                <w:lang w:val="en-US"/>
              </w:rPr>
              <w:t>-6.55</w:t>
            </w:r>
          </w:p>
        </w:tc>
        <w:tc>
          <w:tcPr>
            <w:tcW w:w="1276" w:type="dxa"/>
            <w:shd w:val="clear" w:color="auto" w:fill="auto"/>
            <w:vAlign w:val="center"/>
          </w:tcPr>
          <w:p>
            <w:pPr>
              <w:jc w:val="center"/>
              <w:rPr>
                <w:lang w:val="en-US"/>
              </w:rPr>
            </w:pPr>
            <w:r>
              <w:rPr>
                <w:lang w:val="en-US"/>
              </w:rPr>
              <w:t>-6.63</w:t>
            </w:r>
          </w:p>
        </w:tc>
        <w:tc>
          <w:tcPr>
            <w:tcW w:w="1701" w:type="dxa"/>
            <w:shd w:val="clear" w:color="auto" w:fill="auto"/>
            <w:vAlign w:val="center"/>
          </w:tcPr>
          <w:p>
            <w:pPr>
              <w:jc w:val="center"/>
              <w:rPr>
                <w:lang w:val="en-US"/>
              </w:rPr>
            </w:pPr>
            <w:r>
              <w:rPr>
                <w:lang w:val="en-US"/>
              </w:rPr>
              <w:t>0.08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未命名(5706)</w:t>
            </w:r>
          </w:p>
        </w:tc>
        <w:tc>
          <w:tcPr>
            <w:tcW w:w="1276" w:type="dxa"/>
            <w:shd w:val="clear" w:color="auto" w:fill="auto"/>
            <w:vAlign w:val="center"/>
          </w:tcPr>
          <w:p>
            <w:pPr>
              <w:jc w:val="center"/>
              <w:rPr>
                <w:lang w:val="en-US"/>
              </w:rPr>
            </w:pPr>
            <w:r>
              <w:rPr>
                <w:lang w:val="en-US"/>
              </w:rPr>
              <w:t>-5.49</w:t>
            </w:r>
          </w:p>
        </w:tc>
        <w:tc>
          <w:tcPr>
            <w:tcW w:w="1276" w:type="dxa"/>
            <w:shd w:val="clear" w:color="auto" w:fill="auto"/>
            <w:vAlign w:val="center"/>
          </w:tcPr>
          <w:p>
            <w:pPr>
              <w:jc w:val="center"/>
              <w:rPr>
                <w:lang w:val="en-US"/>
              </w:rPr>
            </w:pPr>
            <w:r>
              <w:rPr>
                <w:lang w:val="en-US"/>
              </w:rPr>
              <w:t>-7.69</w:t>
            </w:r>
          </w:p>
        </w:tc>
        <w:tc>
          <w:tcPr>
            <w:tcW w:w="1701" w:type="dxa"/>
            <w:shd w:val="clear" w:color="auto" w:fill="auto"/>
            <w:vAlign w:val="center"/>
          </w:tcPr>
          <w:p>
            <w:pPr>
              <w:jc w:val="center"/>
              <w:rPr>
                <w:lang w:val="en-US"/>
              </w:rPr>
            </w:pPr>
            <w:r>
              <w:rPr>
                <w:lang w:val="en-US"/>
              </w:rPr>
              <w:t>2.20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未命名(570A)</w:t>
            </w:r>
          </w:p>
        </w:tc>
        <w:tc>
          <w:tcPr>
            <w:tcW w:w="1276" w:type="dxa"/>
            <w:shd w:val="clear" w:color="auto" w:fill="auto"/>
            <w:vAlign w:val="center"/>
          </w:tcPr>
          <w:p>
            <w:pPr>
              <w:jc w:val="center"/>
              <w:rPr>
                <w:lang w:val="en-US"/>
              </w:rPr>
            </w:pPr>
            <w:r>
              <w:rPr>
                <w:lang w:val="en-US"/>
              </w:rPr>
              <w:t>-3.72</w:t>
            </w:r>
          </w:p>
        </w:tc>
        <w:tc>
          <w:tcPr>
            <w:tcW w:w="1276" w:type="dxa"/>
            <w:shd w:val="clear" w:color="auto" w:fill="auto"/>
            <w:vAlign w:val="center"/>
          </w:tcPr>
          <w:p>
            <w:pPr>
              <w:jc w:val="center"/>
              <w:rPr>
                <w:lang w:val="en-US"/>
              </w:rPr>
            </w:pPr>
            <w:r>
              <w:rPr>
                <w:lang w:val="en-US"/>
              </w:rPr>
              <w:t>-6.63</w:t>
            </w:r>
          </w:p>
        </w:tc>
        <w:tc>
          <w:tcPr>
            <w:tcW w:w="1701" w:type="dxa"/>
            <w:shd w:val="clear" w:color="auto" w:fill="auto"/>
            <w:vAlign w:val="center"/>
          </w:tcPr>
          <w:p>
            <w:pPr>
              <w:jc w:val="center"/>
              <w:rPr>
                <w:lang w:val="en-US"/>
              </w:rPr>
            </w:pPr>
            <w:r>
              <w:rPr>
                <w:lang w:val="en-US"/>
              </w:rPr>
              <w:t>2.92</w:t>
            </w:r>
          </w:p>
        </w:tc>
        <w:tc>
          <w:tcPr>
            <w:tcW w:w="973" w:type="dxa"/>
            <w:shd w:val="clear" w:color="auto" w:fill="auto"/>
            <w:vAlign w:val="center"/>
          </w:tcPr>
          <w:p>
            <w:pPr>
              <w:jc w:val="center"/>
              <w:rPr>
                <w:lang w:val="en-US"/>
              </w:rPr>
            </w:pPr>
            <w:r>
              <w:rPr>
                <w:lang w:val="en-US"/>
              </w:rPr>
              <w:t>是</w:t>
            </w:r>
          </w:p>
        </w:tc>
      </w:tr>
      <w:bookmarkEnd w:id="37"/>
      <w:bookmarkEnd w:id="38"/>
    </w:tbl>
    <w:p>
      <w:pPr>
        <w:rPr>
          <w:lang w:val="en-US"/>
        </w:rPr>
      </w:pPr>
      <w:r>
        <w:rPr>
          <w:lang w:val="en-US"/>
        </w:rPr>
        <w:t>结论：本项目中参评建筑DT单体、未命名、未命名、未命名、未命名、未命名、未命名、未命名、未命名、未命名、未命名迎背风压差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pPr>
        <w:rPr>
          <w:lang w:val="en-US"/>
        </w:rPr>
      </w:pPr>
      <w:bookmarkStart w:id="66" w:name="冬季工况"/>
      <w:bookmarkEnd w:id="66"/>
      <w:r>
        <w:rPr>
          <w:rFonts w:hint="eastAsia"/>
          <w:lang w:val="en-US"/>
        </w:rPr>
        <w:t xml:space="preserve"> </w:t>
      </w:r>
    </w:p>
    <w:p>
      <w:pPr>
        <w:rPr>
          <w:lang w:val="en-US"/>
        </w:rPr>
      </w:pPr>
      <w:bookmarkStart w:id="67" w:name="其他工况"/>
      <w:bookmarkEnd w:id="67"/>
      <w:r>
        <w:rPr>
          <w:rFonts w:hint="eastAsia"/>
          <w:lang w:val="en-US"/>
        </w:rPr>
        <w:t xml:space="preserve"> </w:t>
      </w:r>
    </w:p>
    <w:p>
      <w:pPr>
        <w:pStyle w:val="4"/>
      </w:pPr>
      <w:bookmarkStart w:id="68" w:name="_Toc31287"/>
      <w:bookmarkStart w:id="69" w:name="_Toc509844764"/>
      <w:r>
        <w:rPr>
          <w:rFonts w:hint="eastAsia"/>
        </w:rPr>
        <w:t>结论</w:t>
      </w:r>
      <w:bookmarkEnd w:id="68"/>
      <w:bookmarkEnd w:id="69"/>
    </w:p>
    <w:p>
      <w:pPr>
        <w:pStyle w:val="5"/>
      </w:pPr>
      <w:bookmarkStart w:id="70" w:name="_Toc5675"/>
      <w:r>
        <w:rPr>
          <w:rFonts w:hint="eastAsia"/>
        </w:rPr>
        <w:t>冬季工况达标判断</w:t>
      </w:r>
      <w:bookmarkEnd w:id="0"/>
      <w:bookmarkEnd w:id="1"/>
      <w:bookmarkEnd w:id="7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rPr>
                <w:rFonts w:hint="eastAsia"/>
                <w:lang w:val="en-US" w:eastAsia="zh-CN"/>
              </w:rPr>
              <w:t>没有</w:t>
            </w:r>
            <w:r>
              <w:t>出现</w:t>
            </w:r>
            <w:bookmarkEnd w:id="2"/>
            <w:r>
              <w:rPr>
                <w:rFonts w:hint="eastAsia"/>
                <w:lang w:val="en-US"/>
              </w:rPr>
              <w:t>风速大于</w:t>
            </w:r>
            <w:r>
              <w:rPr>
                <w:lang w:val="en-US"/>
              </w:rPr>
              <w:t>5m/s</w:t>
            </w:r>
            <w:r>
              <w:rPr>
                <w:rFonts w:hint="eastAsia"/>
                <w:lang w:val="en-US"/>
              </w:rPr>
              <w:t>的区域，户外休息区、儿童娱乐区</w:t>
            </w:r>
            <w:r>
              <w:t>没有出现</w:t>
            </w:r>
            <w:bookmarkEnd w:id="3"/>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lang w:val="en-US"/>
              </w:rPr>
              <w:t>达标</w:t>
            </w:r>
            <w:bookmarkEnd w:id="4"/>
          </w:p>
          <w:bookmarkEnd w:id="5"/>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3</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bookmarkEnd w:id="6"/>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出现</w:t>
            </w:r>
            <w:bookmarkEnd w:id="32"/>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color w:val="FF0000"/>
                <w:lang w:val="en-US"/>
              </w:rPr>
              <w:t>不达标</w:t>
            </w:r>
            <w:bookmarkEnd w:id="8"/>
          </w:p>
        </w:tc>
        <w:tc>
          <w:tcPr>
            <w:tcW w:w="1416" w:type="dxa"/>
            <w:shd w:val="clear" w:color="auto" w:fill="auto"/>
            <w:vAlign w:val="center"/>
          </w:tcPr>
          <w:p>
            <w:pPr>
              <w:jc w:val="center"/>
              <w:rPr>
                <w:lang w:val="en-US"/>
              </w:rPr>
            </w:pPr>
            <w:r>
              <w:rPr>
                <w:rFonts w:hint="eastAsia"/>
                <w:lang w:val="en-US"/>
              </w:rPr>
              <w:t>0</w:t>
            </w:r>
            <w:bookmarkEnd w:id="10"/>
            <w:r>
              <w:rPr>
                <w:rFonts w:hint="eastAsia"/>
                <w:lang w:val="en-US"/>
              </w:rPr>
              <w:t>分</w:t>
            </w:r>
          </w:p>
        </w:tc>
      </w:tr>
      <w:bookmarkEnd w:id="11"/>
      <w:bookmarkEnd w:id="13"/>
    </w:tbl>
    <w:p>
      <w:pPr>
        <w:rPr>
          <w:szCs w:val="21"/>
          <w:lang w:val="en-US"/>
        </w:rPr>
      </w:pPr>
    </w:p>
    <w:p>
      <w:pPr>
        <w:pStyle w:val="3"/>
        <w:ind w:firstLine="0" w:firstLineChars="0"/>
        <w:rPr>
          <w:lang w:val="en-US"/>
        </w:rPr>
      </w:pPr>
      <w:r>
        <w:rPr>
          <w:rFonts w:hint="eastAsia"/>
          <w:lang w:val="en-US"/>
        </w:rPr>
        <w:t>综合上述达标判断详表的信息，可知本项目得分为</w:t>
      </w:r>
      <w:r>
        <w:rPr>
          <w:rFonts w:hint="eastAsia"/>
          <w:lang w:val="en-US" w:eastAsia="zh-CN"/>
        </w:rPr>
        <w:t>3</w:t>
      </w:r>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F7A0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5E4F7A03"/>
    <w:rsid w:val="68BF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2.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tmp3.dotx</Template>
  <Pages>18</Pages>
  <Words>4921</Words>
  <Characters>5983</Characters>
  <Lines>259</Lines>
  <Paragraphs>273</Paragraphs>
  <TotalTime>0</TotalTime>
  <ScaleCrop>false</ScaleCrop>
  <LinksUpToDate>false</LinksUpToDate>
  <CharactersWithSpaces>6178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2021-12-30T13:17:00Z</dcterms:created>
  <dc:creator>伲喃仁</dc:creator>
  <cp:lastModifiedBy>dgjy0</cp:lastModifiedBy>
  <dcterms:modified xsi:type="dcterms:W3CDTF">2022-01-02T01:55:29Z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99AD642E66224E5EA559541A5B33656C</vt:lpwstr>
  </property>
  <property fmtid="{D5CDD505-2E9C-101B-9397-08002B2CF9AE}" pid="3" name="KSOProductBuildVer">
    <vt:lpwstr>2052-11.1.0.11194</vt:lpwstr>
  </property>
</Properties>
</file>