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lang w:eastAsia="zh-CN"/>
              </w:rPr>
              <w:t>“</w:t>
            </w:r>
            <w:r>
              <w:rPr>
                <w:rFonts w:hint="eastAsia" w:ascii="宋体" w:hAnsi="宋体"/>
                <w:szCs w:val="21"/>
                <w:lang w:val="en-US" w:eastAsia="zh-CN"/>
              </w:rPr>
              <w:t>隐·现</w:t>
            </w:r>
            <w:r>
              <w:rPr>
                <w:rFonts w:hint="eastAsia" w:ascii="宋体" w:hAnsi="宋体"/>
                <w:szCs w:val="21"/>
                <w:lang w:eastAsia="zh-CN"/>
              </w:rPr>
              <w:t>”——</w:t>
            </w:r>
            <w:r>
              <w:rPr>
                <w:rFonts w:hint="eastAsia" w:ascii="宋体" w:hAnsi="宋体"/>
                <w:szCs w:val="21"/>
                <w:lang w:val="en-US" w:eastAsia="zh-CN"/>
              </w:rPr>
              <w:t>疗养活动中心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大连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eastAsia" w:ascii="宋体" w:hAnsi="宋体" w:eastAsia="宋体"/>
                <w:szCs w:val="21"/>
                <w:lang w:val="en-US" w:eastAsia="zh-CN"/>
              </w:rPr>
            </w:pPr>
            <w:bookmarkStart w:id="3" w:name="设计编号"/>
            <w:r>
              <w:rPr>
                <w:rFonts w:hint="eastAsia" w:ascii="宋体" w:hAnsi="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lang w:val="en-US" w:eastAsia="zh-CN"/>
              </w:rPr>
              <w:t>大连理工大学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lang w:val="en-US" w:eastAsia="zh-CN"/>
              </w:rPr>
              <w:t>大连理工大学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default" w:ascii="宋体" w:hAnsi="宋体" w:eastAsia="宋体"/>
                <w:szCs w:val="21"/>
                <w:lang w:val="en-US" w:eastAsia="zh-CN"/>
              </w:rPr>
            </w:pPr>
            <w:r>
              <w:rPr>
                <w:rFonts w:hint="eastAsia" w:ascii="宋体" w:hAnsi="宋体"/>
                <w:szCs w:val="21"/>
                <w:lang w:val="en-US" w:eastAsia="zh-CN"/>
              </w:rPr>
              <w:t>雒童 邹斯晴 钟豪杰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w:t>
            </w:r>
            <w:bookmarkStart w:id="71" w:name="_GoBack"/>
            <w:bookmarkEnd w:id="71"/>
            <w:r>
              <w:rPr>
                <w:rFonts w:hint="eastAsia" w:ascii="宋体" w:hAnsi="宋体"/>
                <w:szCs w:val="21"/>
              </w:rPr>
              <w:t>年12月30日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_Toc30956 </w:instrText>
      </w:r>
      <w:r>
        <w:rPr>
          <w:rFonts w:ascii="宋体" w:hAnsi="宋体"/>
          <w:bCs w:val="0"/>
          <w:caps/>
        </w:rPr>
        <w:fldChar w:fldCharType="separate"/>
      </w:r>
      <w:r>
        <w:rPr>
          <w:rFonts w:hint="eastAsia"/>
        </w:rPr>
        <w:t>1 项目概况</w:t>
      </w:r>
      <w:r>
        <w:tab/>
      </w:r>
      <w:r>
        <w:fldChar w:fldCharType="begin"/>
      </w:r>
      <w:r>
        <w:instrText xml:space="preserve"> PAGEREF _Toc30956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_Toc24704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_Toc24704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_Toc3081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_Toc3081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_Toc19344 </w:instrText>
      </w:r>
      <w:r>
        <w:fldChar w:fldCharType="separate"/>
      </w:r>
      <w:r>
        <w:rPr>
          <w:rFonts w:hint="eastAsia"/>
        </w:rPr>
        <w:t>2 计算</w:t>
      </w:r>
      <w:r>
        <w:t>依据</w:t>
      </w:r>
      <w:r>
        <w:tab/>
      </w:r>
      <w:r>
        <w:fldChar w:fldCharType="begin"/>
      </w:r>
      <w:r>
        <w:instrText xml:space="preserve"> PAGEREF _Toc19344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_Toc19403 </w:instrText>
      </w:r>
      <w:r>
        <w:fldChar w:fldCharType="separate"/>
      </w:r>
      <w:r>
        <w:rPr>
          <w:rFonts w:hint="eastAsia"/>
        </w:rPr>
        <w:t>3 参考</w:t>
      </w:r>
      <w:r>
        <w:t>标准</w:t>
      </w:r>
      <w:r>
        <w:tab/>
      </w:r>
      <w:r>
        <w:fldChar w:fldCharType="begin"/>
      </w:r>
      <w:r>
        <w:instrText xml:space="preserve"> PAGEREF _Toc19403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_Toc16150 </w:instrText>
      </w:r>
      <w:r>
        <w:fldChar w:fldCharType="separate"/>
      </w:r>
      <w:r>
        <w:rPr>
          <w:rFonts w:hint="eastAsia"/>
        </w:rPr>
        <w:t>4 计算原理</w:t>
      </w:r>
      <w:r>
        <w:tab/>
      </w:r>
      <w:r>
        <w:fldChar w:fldCharType="begin"/>
      </w:r>
      <w:r>
        <w:instrText xml:space="preserve"> PAGEREF _Toc16150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_Toc14322 </w:instrText>
      </w:r>
      <w:r>
        <w:fldChar w:fldCharType="separate"/>
      </w:r>
      <w:r>
        <w:rPr>
          <w:rFonts w:hint="eastAsia"/>
          <w:lang w:val="en-GB"/>
        </w:rPr>
        <w:t xml:space="preserve">4.1 </w:t>
      </w:r>
      <w:r>
        <w:rPr>
          <w:rFonts w:hint="eastAsia"/>
        </w:rPr>
        <w:t>风场计算域</w:t>
      </w:r>
      <w:r>
        <w:tab/>
      </w:r>
      <w:r>
        <w:fldChar w:fldCharType="begin"/>
      </w:r>
      <w:r>
        <w:instrText xml:space="preserve"> PAGEREF _Toc14322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_Toc2328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_Toc2328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_Toc1699 </w:instrText>
      </w:r>
      <w:r>
        <w:fldChar w:fldCharType="separate"/>
      </w:r>
      <w:r>
        <w:rPr>
          <w:rFonts w:hint="eastAsia"/>
          <w:lang w:val="en-GB"/>
        </w:rPr>
        <w:t xml:space="preserve">4.2 </w:t>
      </w:r>
      <w:r>
        <w:rPr>
          <w:rFonts w:hint="eastAsia"/>
        </w:rPr>
        <w:t>网格划分</w:t>
      </w:r>
      <w:r>
        <w:tab/>
      </w:r>
      <w:r>
        <w:fldChar w:fldCharType="begin"/>
      </w:r>
      <w:r>
        <w:instrText xml:space="preserve"> PAGEREF _Toc1699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_Toc3705 </w:instrText>
      </w:r>
      <w:r>
        <w:fldChar w:fldCharType="separate"/>
      </w:r>
      <w:r>
        <w:rPr>
          <w:rFonts w:hint="eastAsia"/>
          <w:lang w:val="en-GB"/>
        </w:rPr>
        <w:t xml:space="preserve">4.3 </w:t>
      </w:r>
      <w:r>
        <w:rPr>
          <w:rFonts w:hint="eastAsia"/>
        </w:rPr>
        <w:t>边界条件</w:t>
      </w:r>
      <w:r>
        <w:tab/>
      </w:r>
      <w:r>
        <w:fldChar w:fldCharType="begin"/>
      </w:r>
      <w:r>
        <w:instrText xml:space="preserve"> PAGEREF _Toc3705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_Toc15173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_Toc15173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_Toc22245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_Toc22245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_Toc4396 </w:instrText>
      </w:r>
      <w:r>
        <w:fldChar w:fldCharType="separate"/>
      </w:r>
      <w:r>
        <w:rPr>
          <w:rFonts w:hint="eastAsia"/>
          <w:lang w:val="en-GB"/>
        </w:rPr>
        <w:t xml:space="preserve">4.4 </w:t>
      </w:r>
      <w:r>
        <w:rPr>
          <w:rFonts w:hint="eastAsia"/>
        </w:rPr>
        <w:t>湍流模型</w:t>
      </w:r>
      <w:r>
        <w:tab/>
      </w:r>
      <w:r>
        <w:fldChar w:fldCharType="begin"/>
      </w:r>
      <w:r>
        <w:instrText xml:space="preserve"> PAGEREF _Toc4396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_Toc8531 </w:instrText>
      </w:r>
      <w:r>
        <w:fldChar w:fldCharType="separate"/>
      </w:r>
      <w:r>
        <w:rPr>
          <w:rFonts w:hint="eastAsia"/>
          <w:lang w:val="en-GB"/>
        </w:rPr>
        <w:t xml:space="preserve">4.5 </w:t>
      </w:r>
      <w:r>
        <w:rPr>
          <w:rFonts w:hint="eastAsia"/>
        </w:rPr>
        <w:t>求解计算</w:t>
      </w:r>
      <w:r>
        <w:tab/>
      </w:r>
      <w:r>
        <w:fldChar w:fldCharType="begin"/>
      </w:r>
      <w:r>
        <w:instrText xml:space="preserve"> PAGEREF _Toc8531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_Toc16540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_Toc16540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_Toc6382 </w:instrText>
      </w:r>
      <w:r>
        <w:fldChar w:fldCharType="separate"/>
      </w:r>
      <w:r>
        <w:rPr>
          <w:rFonts w:hint="eastAsia"/>
        </w:rPr>
        <w:t>5 结果</w:t>
      </w:r>
      <w:r>
        <w:t>分析</w:t>
      </w:r>
      <w:r>
        <w:tab/>
      </w:r>
      <w:r>
        <w:fldChar w:fldCharType="begin"/>
      </w:r>
      <w:r>
        <w:instrText xml:space="preserve"> PAGEREF _Toc6382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_Toc2521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_Toc2521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_Toc226 </w:instrText>
      </w:r>
      <w:r>
        <w:fldChar w:fldCharType="separate"/>
      </w:r>
      <w:r>
        <w:rPr>
          <w:rFonts w:hint="eastAsia"/>
          <w:lang w:val="en-GB"/>
        </w:rPr>
        <w:t xml:space="preserve">5.2 </w:t>
      </w:r>
      <w:r>
        <w:rPr>
          <w:rFonts w:hint="eastAsia"/>
        </w:rPr>
        <w:t>夏季工况</w:t>
      </w:r>
      <w:r>
        <w:tab/>
      </w:r>
      <w:r>
        <w:fldChar w:fldCharType="begin"/>
      </w:r>
      <w:r>
        <w:instrText xml:space="preserve"> PAGEREF _Toc226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_Toc29533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_Toc29533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_Toc13911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_Toc13911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_Toc31381 </w:instrText>
      </w:r>
      <w:r>
        <w:fldChar w:fldCharType="separate"/>
      </w:r>
      <w:r>
        <w:rPr>
          <w:rFonts w:hint="eastAsia" w:eastAsia="宋体"/>
          <w:szCs w:val="24"/>
          <w:lang w:val="en-GB"/>
        </w:rPr>
        <w:t xml:space="preserve">5.2.3 </w:t>
      </w:r>
      <w:r>
        <w:rPr>
          <w:rFonts w:hint="eastAsia"/>
        </w:rPr>
        <w:t>人行区域旋涡区/无风区达标判定</w:t>
      </w:r>
      <w:r>
        <w:tab/>
      </w:r>
      <w:r>
        <w:fldChar w:fldCharType="begin"/>
      </w:r>
      <w:r>
        <w:instrText xml:space="preserve"> PAGEREF _Toc31381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_Toc12554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_Toc12554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_Toc17422 </w:instrText>
      </w:r>
      <w:r>
        <w:fldChar w:fldCharType="separate"/>
      </w:r>
      <w:r>
        <w:rPr>
          <w:rFonts w:hint="eastAsia"/>
          <w:lang w:val="en-GB"/>
        </w:rPr>
        <w:t xml:space="preserve">5.3 </w:t>
      </w:r>
      <w:r>
        <w:rPr>
          <w:rFonts w:hint="eastAsia"/>
        </w:rPr>
        <w:t>结论</w:t>
      </w:r>
      <w:r>
        <w:tab/>
      </w:r>
      <w:r>
        <w:fldChar w:fldCharType="begin"/>
      </w:r>
      <w:r>
        <w:instrText xml:space="preserve"> PAGEREF _Toc17422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_Toc26635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_Toc26635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30956"/>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24704"/>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3081"/>
      <w:bookmarkStart w:id="16" w:name="_Toc452108761"/>
      <w:r>
        <w:rPr>
          <w:rFonts w:hint="eastAsia"/>
        </w:rPr>
        <w:t>三</w:t>
      </w:r>
      <w:r>
        <w:t>维视图</w:t>
      </w:r>
      <w:bookmarkEnd w:id="15"/>
      <w:bookmarkEnd w:id="16"/>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19344"/>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19403"/>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1698935"/>
      <w:bookmarkStart w:id="24" w:name="_Toc452108764"/>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16150"/>
      <w:r>
        <w:rPr>
          <w:rFonts w:hint="eastAsia"/>
        </w:rPr>
        <w:t>计算原理</w:t>
      </w:r>
      <w:bookmarkEnd w:id="26"/>
    </w:p>
    <w:p>
      <w:pPr>
        <w:pStyle w:val="4"/>
        <w:numPr>
          <w:ilvl w:val="1"/>
          <w:numId w:val="3"/>
        </w:numPr>
      </w:pPr>
      <w:bookmarkStart w:id="27" w:name="_Toc14322"/>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2328"/>
      <w:r>
        <w:rPr>
          <w:rFonts w:hint="eastAsia"/>
        </w:rPr>
        <w:t>夏季工况风场计算域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Z尺寸"/>
            <w:r>
              <w:t>118</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3"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4" w:name="_Toc1699"/>
      <w:bookmarkStart w:id="35" w:name="_Toc509844741"/>
      <w:r>
        <w:rPr>
          <w:rFonts w:hint="eastAsia"/>
        </w:rPr>
        <w:t>网格划分</w:t>
      </w:r>
      <w:bookmarkEnd w:id="34"/>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6" w:name="OLE_LINK276"/>
      <w:bookmarkStart w:id="37" w:name="OLE_LINK277"/>
      <w:r>
        <w:rPr>
          <w:rFonts w:hint="eastAsia"/>
        </w:rPr>
        <w:t>1）普通网格：指除靠近地面和建筑以外的网格，通常不需要特别加密处理</w:t>
      </w:r>
    </w:p>
    <w:p>
      <w:pPr>
        <w:pStyle w:val="12"/>
        <w:numPr>
          <w:ilvl w:val="0"/>
          <w:numId w:val="4"/>
        </w:numPr>
        <w:spacing w:before="156"/>
      </w:pPr>
      <w:bookmarkStart w:id="38"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500512</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pStyle w:val="3"/>
        <w:ind w:firstLine="630" w:firstLineChars="300"/>
        <w:rPr>
          <w:rFonts w:ascii="黑体" w:hAnsi="黑体" w:eastAsia="黑体"/>
          <w:szCs w:val="20"/>
        </w:rPr>
      </w:pPr>
      <w:bookmarkStart w:id="39" w:name="网格划分信息"/>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0" w:name="_Toc3705"/>
      <w:bookmarkStart w:id="41" w:name="_Toc509844742"/>
      <w:r>
        <w:rPr>
          <w:rFonts w:hint="eastAsia"/>
        </w:rPr>
        <w:t>边界条件</w:t>
      </w:r>
      <w:bookmarkEnd w:id="40"/>
      <w:bookmarkEnd w:id="4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2" w:name="_Toc15173"/>
      <w:bookmarkStart w:id="43" w:name="_Toc509844743"/>
      <w:r>
        <w:rPr>
          <w:rFonts w:hint="eastAsia"/>
        </w:rPr>
        <w:t>入口与出口边界条件</w:t>
      </w:r>
      <w:bookmarkEnd w:id="42"/>
      <w:bookmarkEnd w:id="4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4" w:name="地面粗糙度指数2"/>
      <w:r>
        <w:rPr>
          <w:rFonts w:hint="eastAsia"/>
          <w:lang w:val="en-US"/>
        </w:rPr>
        <w:t>0.28</w:t>
      </w:r>
      <w:bookmarkEnd w:id="4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5" w:name="_Toc22245"/>
      <w:bookmarkStart w:id="46" w:name="_Toc509844744"/>
      <w:r>
        <w:rPr>
          <w:rFonts w:hint="eastAsia"/>
        </w:rPr>
        <w:t>壁面边界条件</w:t>
      </w:r>
      <w:bookmarkEnd w:id="45"/>
      <w:bookmarkEnd w:id="4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7" w:name="_Toc4396"/>
      <w:r>
        <w:rPr>
          <w:rFonts w:hint="eastAsia"/>
        </w:rPr>
        <w:t>湍流模型</w:t>
      </w:r>
      <w:bookmarkEnd w:id="4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8" w:name="_Toc451698939"/>
      <w:bookmarkStart w:id="49" w:name="_Toc452108767"/>
      <w:bookmarkStart w:id="50" w:name="_Toc8531"/>
      <w:r>
        <w:rPr>
          <w:rFonts w:hint="eastAsia"/>
        </w:rPr>
        <w:t>求解计算</w:t>
      </w:r>
      <w:bookmarkEnd w:id="48"/>
      <w:bookmarkEnd w:id="49"/>
      <w:bookmarkEnd w:id="50"/>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1"/>
      <w:r>
        <w:rPr>
          <w:rFonts w:hint="eastAsia" w:ascii="黑体" w:hAnsi="黑体" w:eastAsia="黑体"/>
          <w:sz w:val="20"/>
          <w:szCs w:val="20"/>
        </w:rPr>
        <w:t xml:space="preserve"> </w:t>
      </w:r>
      <w:bookmarkStart w:id="52" w:name="_Ref225175618"/>
      <w:r>
        <w:rPr>
          <w:rFonts w:hint="eastAsia" w:ascii="黑体" w:hAnsi="黑体" w:eastAsia="黑体"/>
          <w:sz w:val="20"/>
          <w:szCs w:val="20"/>
        </w:rPr>
        <w:t>计算流体力学的控制方程</w:t>
      </w:r>
      <w:bookmarkEnd w:id="5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3" w:name="_Toc16540"/>
      <w:bookmarkStart w:id="54" w:name="_Toc509844747"/>
      <w:r>
        <w:rPr>
          <w:rFonts w:hint="eastAsia"/>
        </w:rPr>
        <w:t>风速放大系数计算</w:t>
      </w:r>
      <w:bookmarkEnd w:id="53"/>
      <w:bookmarkEnd w:id="5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5" w:name="地面粗糙度指数"/>
      <w:r>
        <w:rPr>
          <w:rFonts w:hint="eastAsia"/>
          <w:lang w:val="en-US"/>
        </w:rPr>
        <w:t>0.28</w:t>
      </w:r>
      <w:bookmarkEnd w:id="5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6" w:name="_Toc452108768"/>
      <w:bookmarkStart w:id="57" w:name="_Toc6382"/>
      <w:r>
        <w:rPr>
          <w:rFonts w:hint="eastAsia"/>
        </w:rPr>
        <w:t>结果</w:t>
      </w:r>
      <w:r>
        <w:t>分析</w:t>
      </w:r>
      <w:bookmarkEnd w:id="56"/>
      <w:bookmarkEnd w:id="57"/>
    </w:p>
    <w:p>
      <w:pPr>
        <w:pStyle w:val="4"/>
        <w:rPr>
          <w:szCs w:val="21"/>
        </w:rPr>
      </w:pPr>
      <w:bookmarkStart w:id="58" w:name="_Toc2521"/>
      <w:r>
        <w:rPr>
          <w:rFonts w:hint="eastAsia"/>
          <w:szCs w:val="21"/>
        </w:rPr>
        <w:t>工况</w:t>
      </w:r>
      <w:r>
        <w:rPr>
          <w:szCs w:val="21"/>
        </w:rPr>
        <w:t>表</w:t>
      </w:r>
      <w:bookmarkEnd w:id="58"/>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59"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4.60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247.5</w:t>
            </w:r>
          </w:p>
        </w:tc>
      </w:tr>
      <w:bookmarkEnd w:id="5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60" w:name="冬季工况"/>
      <w:bookmarkEnd w:id="60"/>
      <w:r>
        <w:rPr>
          <w:rFonts w:hint="eastAsia"/>
          <w:lang w:val="en-US"/>
        </w:rPr>
        <w:t xml:space="preserve"> </w:t>
      </w:r>
    </w:p>
    <w:p>
      <w:pPr>
        <w:pStyle w:val="4"/>
      </w:pPr>
      <w:bookmarkStart w:id="61" w:name="_Toc226"/>
      <w:r>
        <w:rPr>
          <w:rFonts w:hint="eastAsia"/>
        </w:rPr>
        <w:t>夏季工况</w:t>
      </w:r>
      <w:bookmarkEnd w:id="61"/>
    </w:p>
    <w:p>
      <w:pPr>
        <w:pStyle w:val="3"/>
        <w:ind w:firstLine="420"/>
      </w:pPr>
      <w:r>
        <w:rPr>
          <w:rFonts w:hint="eastAsia"/>
          <w:lang w:val="en-US"/>
        </w:rPr>
        <w:t>本项目夏季工况的入口边界风速为4.60m/s，风向为</w:t>
      </w:r>
      <w:r>
        <w:t>SSW</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62" w:name="_Toc29533"/>
      <w:r>
        <w:rPr>
          <w:rFonts w:hint="eastAsia"/>
        </w:rPr>
        <w:t>无风区计算分析</w:t>
      </w:r>
      <w:bookmarkEnd w:id="62"/>
    </w:p>
    <w:bookmarkEnd w:id="10"/>
    <w:p>
      <w:pPr>
        <w:pStyle w:val="3"/>
        <w:tabs>
          <w:tab w:val="left" w:pos="426"/>
        </w:tabs>
        <w:ind w:firstLine="420"/>
      </w:pPr>
      <w:r>
        <w:rPr>
          <w:rFonts w:hint="eastAsia"/>
        </w:rPr>
        <w:t>下图为整个计算域内风速分布云图，参考图中速度分布可以对项目中建筑布局进行优化。分析下图，</w:t>
      </w:r>
      <w:bookmarkEnd w:id="11"/>
      <w:r>
        <w:t>黑色等值线</w:t>
      </w:r>
      <w:r>
        <w:rPr>
          <w:color w:val="FF0000"/>
        </w:rPr>
        <w:t>标示出了</w:t>
      </w:r>
      <w:r>
        <w:t>人行区内风速小于0.2m/s的超限区域，因此</w:t>
      </w:r>
      <w:r>
        <w:rPr>
          <w:color w:val="FF0000"/>
        </w:rPr>
        <w:t>未满足</w:t>
      </w:r>
      <w:r>
        <w:t>绿标要求，需调整建筑布局优化区域内风速分布。</w:t>
      </w:r>
    </w:p>
    <w:bookmarkEnd w:id="13"/>
    <w:p>
      <w:pPr>
        <w:pStyle w:val="3"/>
        <w:spacing w:after="156" w:afterLines="50"/>
        <w:ind w:firstLine="0" w:firstLineChars="0"/>
        <w:jc w:val="cente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w:t>
      </w:r>
      <w:bookmarkStart w:id="63" w:name="季节7"/>
      <w:r>
        <w:rPr>
          <w:rFonts w:hint="eastAsia" w:ascii="黑体" w:hAnsi="黑体" w:eastAsia="黑体"/>
          <w:sz w:val="20"/>
          <w:szCs w:val="20"/>
        </w:rPr>
        <w:t>夏季</w:t>
      </w:r>
      <w:bookmarkEnd w:id="63"/>
    </w:p>
    <w:p>
      <w:pPr>
        <w:pStyle w:val="5"/>
      </w:pPr>
      <w:bookmarkStart w:id="64" w:name="_Toc13911"/>
      <w:r>
        <w:rPr>
          <w:rFonts w:hint="eastAsia"/>
        </w:rPr>
        <w:t>旋涡区分析</w:t>
      </w:r>
      <w:bookmarkEnd w:id="14"/>
      <w:bookmarkEnd w:id="64"/>
    </w:p>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bookmarkEnd w:id="17"/>
    <w:p>
      <w:pPr>
        <w:pStyle w:val="3"/>
        <w:ind w:firstLine="0" w:firstLineChars="0"/>
        <w:jc w:val="center"/>
        <w:rPr>
          <w:lang w:val="en-US"/>
        </w:rPr>
      </w:pPr>
      <w:r>
        <w:drawing>
          <wp:inline distT="0" distB="0" distL="0" distR="0">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65" w:name="_Toc31381"/>
      <w:r>
        <w:rPr>
          <w:rFonts w:hint="eastAsia"/>
        </w:rPr>
        <w:t>人行区域旋涡区/无风区达标判定</w:t>
      </w:r>
      <w:bookmarkEnd w:id="19"/>
      <w:bookmarkEnd w:id="6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w:t>
      </w:r>
      <w:bookmarkEnd w:id="20"/>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是</w:t>
            </w:r>
            <w:bookmarkEnd w:id="22"/>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否</w:t>
            </w:r>
            <w:bookmarkEnd w:id="23"/>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66" w:name="_Toc12554"/>
      <w:r>
        <w:rPr>
          <w:rFonts w:hint="eastAsia"/>
        </w:rPr>
        <w:t>外窗内外表面风压</w:t>
      </w:r>
      <w:bookmarkEnd w:id="24"/>
      <w:r>
        <w:rPr>
          <w:rFonts w:hint="eastAsia"/>
        </w:rPr>
        <w:t>差达标分析</w:t>
      </w:r>
      <w:bookmarkEnd w:id="25"/>
      <w:bookmarkEnd w:id="66"/>
    </w:p>
    <w:p>
      <w:pPr>
        <w:pStyle w:val="3"/>
        <w:ind w:firstLine="420"/>
      </w:pPr>
      <w:r>
        <w:rPr>
          <w:rFonts w:hint="eastAsia"/>
          <w:lang w:val="en-US"/>
        </w:rPr>
        <w:t>分析《绿色建筑评价标准》，夏季</w:t>
      </w:r>
      <w:bookmarkEnd w:id="28"/>
      <w:r>
        <w:rPr>
          <w:rFonts w:hint="eastAsia"/>
          <w:lang w:val="en-US"/>
        </w:rPr>
        <w:t>为充分利用自然通风获得良好的室内风环境，要求50%以上可开启外窗室内外表面的风压差大于0.5Pa</w:t>
      </w:r>
      <w:bookmarkEnd w:id="29"/>
      <w:r>
        <w:rPr>
          <w:rFonts w:hint="eastAsia"/>
          <w:lang w:val="en-US"/>
        </w:rPr>
        <w:t>。</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30"/>
    <w:p>
      <w:pPr>
        <w:pStyle w:val="3"/>
        <w:ind w:firstLine="0" w:firstLineChars="0"/>
        <w:jc w:val="center"/>
      </w:pPr>
      <w: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1"/>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bookmarkEnd w:id="33"/>
    </w:p>
    <w:bookmarkEnd w:id="35"/>
    <w:p>
      <w:pPr>
        <w:pStyle w:val="13"/>
        <w:jc w:val="center"/>
      </w:pPr>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bookmarkEnd w:id="36"/>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DT单体(风环境模拟12.5)</w:t>
            </w:r>
          </w:p>
        </w:tc>
        <w:tc>
          <w:tcPr>
            <w:tcW w:w="1134" w:type="dxa"/>
            <w:shd w:val="clear" w:color="auto" w:fill="auto"/>
            <w:vAlign w:val="center"/>
          </w:tcPr>
          <w:p>
            <w:pPr>
              <w:jc w:val="center"/>
              <w:rPr>
                <w:lang w:val="en-US"/>
              </w:rPr>
            </w:pPr>
            <w:r>
              <w:rPr>
                <w:lang w:val="en-US"/>
              </w:rPr>
              <w:t>117</w:t>
            </w:r>
          </w:p>
        </w:tc>
        <w:tc>
          <w:tcPr>
            <w:tcW w:w="1984" w:type="dxa"/>
            <w:shd w:val="clear" w:color="auto" w:fill="auto"/>
            <w:vAlign w:val="center"/>
          </w:tcPr>
          <w:p>
            <w:pPr>
              <w:jc w:val="center"/>
              <w:rPr>
                <w:lang w:val="en-US"/>
              </w:rPr>
            </w:pPr>
            <w:r>
              <w:rPr>
                <w:lang w:val="en-US"/>
              </w:rPr>
              <w:t>95</w:t>
            </w:r>
          </w:p>
        </w:tc>
        <w:tc>
          <w:tcPr>
            <w:tcW w:w="1116" w:type="dxa"/>
            <w:shd w:val="clear" w:color="auto" w:fill="auto"/>
            <w:vAlign w:val="center"/>
          </w:tcPr>
          <w:p>
            <w:pPr>
              <w:jc w:val="center"/>
              <w:rPr>
                <w:lang w:val="en-US"/>
              </w:rPr>
            </w:pPr>
            <w:r>
              <w:rPr>
                <w:lang w:val="en-US"/>
              </w:rPr>
              <w:t>81.20</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7"/>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未命名(429F)</w:t>
            </w:r>
          </w:p>
        </w:tc>
        <w:tc>
          <w:tcPr>
            <w:tcW w:w="1417" w:type="dxa"/>
            <w:vAlign w:val="center"/>
          </w:tcPr>
          <w:p>
            <w:pPr>
              <w:spacing w:line="360" w:lineRule="exact"/>
              <w:jc w:val="center"/>
              <w:rPr>
                <w:lang w:val="en-US"/>
              </w:rPr>
            </w:pPr>
            <w:r>
              <w:rPr>
                <w:lang w:val="en-US"/>
              </w:rPr>
              <w:t>3663.68</w:t>
            </w:r>
          </w:p>
        </w:tc>
        <w:tc>
          <w:tcPr>
            <w:tcW w:w="2552" w:type="dxa"/>
            <w:vAlign w:val="center"/>
          </w:tcPr>
          <w:p>
            <w:pPr>
              <w:spacing w:line="360" w:lineRule="exact"/>
              <w:jc w:val="center"/>
              <w:rPr>
                <w:lang w:val="en-US"/>
              </w:rPr>
            </w:pPr>
            <w:r>
              <w:rPr>
                <w:lang w:val="en-US"/>
              </w:rPr>
              <w:t>3452.68</w:t>
            </w:r>
          </w:p>
        </w:tc>
        <w:tc>
          <w:tcPr>
            <w:tcW w:w="1134" w:type="dxa"/>
            <w:vAlign w:val="center"/>
          </w:tcPr>
          <w:p>
            <w:pPr>
              <w:spacing w:line="360" w:lineRule="exact"/>
              <w:jc w:val="center"/>
              <w:rPr>
                <w:lang w:val="en-US"/>
              </w:rPr>
            </w:pPr>
            <w:r>
              <w:rPr>
                <w:lang w:val="en-US"/>
              </w:rPr>
              <w:t>94.24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未命名(42A2)</w:t>
            </w:r>
          </w:p>
        </w:tc>
        <w:tc>
          <w:tcPr>
            <w:tcW w:w="1417" w:type="dxa"/>
            <w:vAlign w:val="center"/>
          </w:tcPr>
          <w:p>
            <w:pPr>
              <w:spacing w:line="360" w:lineRule="exact"/>
              <w:jc w:val="center"/>
              <w:rPr>
                <w:lang w:val="en-US"/>
              </w:rPr>
            </w:pPr>
            <w:r>
              <w:rPr>
                <w:lang w:val="en-US"/>
              </w:rPr>
              <w:t>2293.60</w:t>
            </w:r>
          </w:p>
        </w:tc>
        <w:tc>
          <w:tcPr>
            <w:tcW w:w="2552" w:type="dxa"/>
            <w:vAlign w:val="center"/>
          </w:tcPr>
          <w:p>
            <w:pPr>
              <w:spacing w:line="360" w:lineRule="exact"/>
              <w:jc w:val="center"/>
              <w:rPr>
                <w:lang w:val="en-US"/>
              </w:rPr>
            </w:pPr>
            <w:r>
              <w:rPr>
                <w:lang w:val="en-US"/>
              </w:rPr>
              <w:t>2286.35</w:t>
            </w:r>
          </w:p>
        </w:tc>
        <w:tc>
          <w:tcPr>
            <w:tcW w:w="1134" w:type="dxa"/>
            <w:vAlign w:val="center"/>
          </w:tcPr>
          <w:p>
            <w:pPr>
              <w:spacing w:line="360" w:lineRule="exact"/>
              <w:jc w:val="center"/>
              <w:rPr>
                <w:lang w:val="en-US"/>
              </w:rPr>
            </w:pPr>
            <w:r>
              <w:rPr>
                <w:lang w:val="en-US"/>
              </w:rPr>
              <w:t>99.68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未命名(42A5)</w:t>
            </w:r>
          </w:p>
        </w:tc>
        <w:tc>
          <w:tcPr>
            <w:tcW w:w="1417" w:type="dxa"/>
            <w:vAlign w:val="center"/>
          </w:tcPr>
          <w:p>
            <w:pPr>
              <w:spacing w:line="360" w:lineRule="exact"/>
              <w:jc w:val="center"/>
              <w:rPr>
                <w:lang w:val="en-US"/>
              </w:rPr>
            </w:pPr>
            <w:r>
              <w:rPr>
                <w:lang w:val="en-US"/>
              </w:rPr>
              <w:t>1639.64</w:t>
            </w:r>
          </w:p>
        </w:tc>
        <w:tc>
          <w:tcPr>
            <w:tcW w:w="2552" w:type="dxa"/>
            <w:vAlign w:val="center"/>
          </w:tcPr>
          <w:p>
            <w:pPr>
              <w:spacing w:line="360" w:lineRule="exact"/>
              <w:jc w:val="center"/>
              <w:rPr>
                <w:lang w:val="en-US"/>
              </w:rPr>
            </w:pPr>
            <w:r>
              <w:rPr>
                <w:lang w:val="en-US"/>
              </w:rPr>
              <w:t>1619.46</w:t>
            </w:r>
          </w:p>
        </w:tc>
        <w:tc>
          <w:tcPr>
            <w:tcW w:w="1134" w:type="dxa"/>
            <w:vAlign w:val="center"/>
          </w:tcPr>
          <w:p>
            <w:pPr>
              <w:spacing w:line="360" w:lineRule="exact"/>
              <w:jc w:val="center"/>
              <w:rPr>
                <w:lang w:val="en-US"/>
              </w:rPr>
            </w:pPr>
            <w:r>
              <w:rPr>
                <w:lang w:val="en-US"/>
              </w:rPr>
              <w:t>98.77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未命名(42A8)</w:t>
            </w:r>
          </w:p>
        </w:tc>
        <w:tc>
          <w:tcPr>
            <w:tcW w:w="1417" w:type="dxa"/>
            <w:vAlign w:val="center"/>
          </w:tcPr>
          <w:p>
            <w:pPr>
              <w:spacing w:line="360" w:lineRule="exact"/>
              <w:jc w:val="center"/>
              <w:rPr>
                <w:lang w:val="en-US"/>
              </w:rPr>
            </w:pPr>
            <w:r>
              <w:rPr>
                <w:lang w:val="en-US"/>
              </w:rPr>
              <w:t>180.87</w:t>
            </w:r>
          </w:p>
        </w:tc>
        <w:tc>
          <w:tcPr>
            <w:tcW w:w="2552" w:type="dxa"/>
            <w:vAlign w:val="center"/>
          </w:tcPr>
          <w:p>
            <w:pPr>
              <w:spacing w:line="360" w:lineRule="exact"/>
              <w:jc w:val="center"/>
              <w:rPr>
                <w:lang w:val="en-US"/>
              </w:rPr>
            </w:pPr>
            <w:r>
              <w:rPr>
                <w:lang w:val="en-US"/>
              </w:rPr>
              <w:t>156.16</w:t>
            </w:r>
          </w:p>
        </w:tc>
        <w:tc>
          <w:tcPr>
            <w:tcW w:w="1134" w:type="dxa"/>
            <w:vAlign w:val="center"/>
          </w:tcPr>
          <w:p>
            <w:pPr>
              <w:spacing w:line="360" w:lineRule="exact"/>
              <w:jc w:val="center"/>
              <w:rPr>
                <w:lang w:val="en-US"/>
              </w:rPr>
            </w:pPr>
            <w:r>
              <w:rPr>
                <w:lang w:val="en-US"/>
              </w:rPr>
              <w:t>86.34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未命名(42AB)</w:t>
            </w:r>
          </w:p>
        </w:tc>
        <w:tc>
          <w:tcPr>
            <w:tcW w:w="1417" w:type="dxa"/>
            <w:vAlign w:val="center"/>
          </w:tcPr>
          <w:p>
            <w:pPr>
              <w:spacing w:line="360" w:lineRule="exact"/>
              <w:jc w:val="center"/>
              <w:rPr>
                <w:lang w:val="en-US"/>
              </w:rPr>
            </w:pPr>
            <w:r>
              <w:rPr>
                <w:lang w:val="en-US"/>
              </w:rPr>
              <w:t>338.30</w:t>
            </w:r>
          </w:p>
        </w:tc>
        <w:tc>
          <w:tcPr>
            <w:tcW w:w="2552" w:type="dxa"/>
            <w:vAlign w:val="center"/>
          </w:tcPr>
          <w:p>
            <w:pPr>
              <w:spacing w:line="360" w:lineRule="exact"/>
              <w:jc w:val="center"/>
              <w:rPr>
                <w:lang w:val="en-US"/>
              </w:rPr>
            </w:pPr>
            <w:r>
              <w:rPr>
                <w:lang w:val="en-US"/>
              </w:rPr>
              <w:t>329.79</w:t>
            </w:r>
          </w:p>
        </w:tc>
        <w:tc>
          <w:tcPr>
            <w:tcW w:w="1134" w:type="dxa"/>
            <w:vAlign w:val="center"/>
          </w:tcPr>
          <w:p>
            <w:pPr>
              <w:spacing w:line="360" w:lineRule="exact"/>
              <w:jc w:val="center"/>
              <w:rPr>
                <w:lang w:val="en-US"/>
              </w:rPr>
            </w:pPr>
            <w:r>
              <w:rPr>
                <w:lang w:val="en-US"/>
              </w:rPr>
              <w:t>97.48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未命名(42AE)</w:t>
            </w:r>
          </w:p>
        </w:tc>
        <w:tc>
          <w:tcPr>
            <w:tcW w:w="1417" w:type="dxa"/>
            <w:vAlign w:val="center"/>
          </w:tcPr>
          <w:p>
            <w:pPr>
              <w:spacing w:line="360" w:lineRule="exact"/>
              <w:jc w:val="center"/>
              <w:rPr>
                <w:lang w:val="en-US"/>
              </w:rPr>
            </w:pPr>
            <w:r>
              <w:rPr>
                <w:lang w:val="en-US"/>
              </w:rPr>
              <w:t>1089.26</w:t>
            </w:r>
          </w:p>
        </w:tc>
        <w:tc>
          <w:tcPr>
            <w:tcW w:w="2552" w:type="dxa"/>
            <w:vAlign w:val="center"/>
          </w:tcPr>
          <w:p>
            <w:pPr>
              <w:spacing w:line="360" w:lineRule="exact"/>
              <w:jc w:val="center"/>
              <w:rPr>
                <w:lang w:val="en-US"/>
              </w:rPr>
            </w:pPr>
            <w:r>
              <w:rPr>
                <w:lang w:val="en-US"/>
              </w:rPr>
              <w:t>1078.53</w:t>
            </w:r>
          </w:p>
        </w:tc>
        <w:tc>
          <w:tcPr>
            <w:tcW w:w="1134" w:type="dxa"/>
            <w:vAlign w:val="center"/>
          </w:tcPr>
          <w:p>
            <w:pPr>
              <w:spacing w:line="360" w:lineRule="exact"/>
              <w:jc w:val="center"/>
              <w:rPr>
                <w:lang w:val="en-US"/>
              </w:rPr>
            </w:pPr>
            <w:r>
              <w:rPr>
                <w:lang w:val="en-US"/>
              </w:rPr>
              <w:t>99.01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未命名(42B2)</w:t>
            </w:r>
          </w:p>
        </w:tc>
        <w:tc>
          <w:tcPr>
            <w:tcW w:w="1417" w:type="dxa"/>
            <w:vAlign w:val="center"/>
          </w:tcPr>
          <w:p>
            <w:pPr>
              <w:spacing w:line="360" w:lineRule="exact"/>
              <w:jc w:val="center"/>
              <w:rPr>
                <w:lang w:val="en-US"/>
              </w:rPr>
            </w:pPr>
            <w:r>
              <w:rPr>
                <w:lang w:val="en-US"/>
              </w:rPr>
              <w:t>1234.95</w:t>
            </w:r>
          </w:p>
        </w:tc>
        <w:tc>
          <w:tcPr>
            <w:tcW w:w="2552" w:type="dxa"/>
            <w:vAlign w:val="center"/>
          </w:tcPr>
          <w:p>
            <w:pPr>
              <w:spacing w:line="360" w:lineRule="exact"/>
              <w:jc w:val="center"/>
              <w:rPr>
                <w:lang w:val="en-US"/>
              </w:rPr>
            </w:pPr>
            <w:r>
              <w:rPr>
                <w:lang w:val="en-US"/>
              </w:rPr>
              <w:t>1190.49</w:t>
            </w:r>
          </w:p>
        </w:tc>
        <w:tc>
          <w:tcPr>
            <w:tcW w:w="1134" w:type="dxa"/>
            <w:vAlign w:val="center"/>
          </w:tcPr>
          <w:p>
            <w:pPr>
              <w:spacing w:line="360" w:lineRule="exact"/>
              <w:jc w:val="center"/>
              <w:rPr>
                <w:lang w:val="en-US"/>
              </w:rPr>
            </w:pPr>
            <w:r>
              <w:rPr>
                <w:lang w:val="en-US"/>
              </w:rPr>
              <w:t>96.40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未命名(42B5)</w:t>
            </w:r>
          </w:p>
        </w:tc>
        <w:tc>
          <w:tcPr>
            <w:tcW w:w="1417" w:type="dxa"/>
            <w:vAlign w:val="center"/>
          </w:tcPr>
          <w:p>
            <w:pPr>
              <w:spacing w:line="360" w:lineRule="exact"/>
              <w:jc w:val="center"/>
              <w:rPr>
                <w:lang w:val="en-US"/>
              </w:rPr>
            </w:pPr>
            <w:r>
              <w:rPr>
                <w:lang w:val="en-US"/>
              </w:rPr>
              <w:t>850.93</w:t>
            </w:r>
          </w:p>
        </w:tc>
        <w:tc>
          <w:tcPr>
            <w:tcW w:w="2552" w:type="dxa"/>
            <w:vAlign w:val="center"/>
          </w:tcPr>
          <w:p>
            <w:pPr>
              <w:spacing w:line="360" w:lineRule="exact"/>
              <w:jc w:val="center"/>
              <w:rPr>
                <w:lang w:val="en-US"/>
              </w:rPr>
            </w:pPr>
            <w:r>
              <w:rPr>
                <w:lang w:val="en-US"/>
              </w:rPr>
              <w:t>789.30</w:t>
            </w:r>
          </w:p>
        </w:tc>
        <w:tc>
          <w:tcPr>
            <w:tcW w:w="1134" w:type="dxa"/>
            <w:vAlign w:val="center"/>
          </w:tcPr>
          <w:p>
            <w:pPr>
              <w:spacing w:line="360" w:lineRule="exact"/>
              <w:jc w:val="center"/>
              <w:rPr>
                <w:lang w:val="en-US"/>
              </w:rPr>
            </w:pPr>
            <w:r>
              <w:rPr>
                <w:lang w:val="en-US"/>
              </w:rPr>
              <w:t>92.76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未命名(42BE)</w:t>
            </w:r>
          </w:p>
        </w:tc>
        <w:tc>
          <w:tcPr>
            <w:tcW w:w="1417" w:type="dxa"/>
            <w:vAlign w:val="center"/>
          </w:tcPr>
          <w:p>
            <w:pPr>
              <w:spacing w:line="360" w:lineRule="exact"/>
              <w:jc w:val="center"/>
              <w:rPr>
                <w:lang w:val="en-US"/>
              </w:rPr>
            </w:pPr>
            <w:r>
              <w:rPr>
                <w:lang w:val="en-US"/>
              </w:rPr>
              <w:t>1231.73</w:t>
            </w:r>
          </w:p>
        </w:tc>
        <w:tc>
          <w:tcPr>
            <w:tcW w:w="2552" w:type="dxa"/>
            <w:vAlign w:val="center"/>
          </w:tcPr>
          <w:p>
            <w:pPr>
              <w:spacing w:line="360" w:lineRule="exact"/>
              <w:jc w:val="center"/>
              <w:rPr>
                <w:lang w:val="en-US"/>
              </w:rPr>
            </w:pPr>
            <w:r>
              <w:rPr>
                <w:lang w:val="en-US"/>
              </w:rPr>
              <w:t>1228.23</w:t>
            </w:r>
          </w:p>
        </w:tc>
        <w:tc>
          <w:tcPr>
            <w:tcW w:w="1134" w:type="dxa"/>
            <w:vAlign w:val="center"/>
          </w:tcPr>
          <w:p>
            <w:pPr>
              <w:spacing w:line="360" w:lineRule="exact"/>
              <w:jc w:val="center"/>
              <w:rPr>
                <w:lang w:val="en-US"/>
              </w:rPr>
            </w:pPr>
            <w:r>
              <w:rPr>
                <w:lang w:val="en-US"/>
              </w:rPr>
              <w:t>99.72</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未命名(42C1)</w:t>
            </w:r>
          </w:p>
        </w:tc>
        <w:tc>
          <w:tcPr>
            <w:tcW w:w="1417" w:type="dxa"/>
            <w:vAlign w:val="center"/>
          </w:tcPr>
          <w:p>
            <w:pPr>
              <w:spacing w:line="360" w:lineRule="exact"/>
              <w:jc w:val="center"/>
              <w:rPr>
                <w:lang w:val="en-US"/>
              </w:rPr>
            </w:pPr>
            <w:r>
              <w:rPr>
                <w:lang w:val="en-US"/>
              </w:rPr>
              <w:t>1284.08</w:t>
            </w:r>
          </w:p>
        </w:tc>
        <w:tc>
          <w:tcPr>
            <w:tcW w:w="2552" w:type="dxa"/>
            <w:vAlign w:val="center"/>
          </w:tcPr>
          <w:p>
            <w:pPr>
              <w:spacing w:line="360" w:lineRule="exact"/>
              <w:jc w:val="center"/>
              <w:rPr>
                <w:lang w:val="en-US"/>
              </w:rPr>
            </w:pPr>
            <w:r>
              <w:rPr>
                <w:lang w:val="en-US"/>
              </w:rPr>
              <w:t>1275.93</w:t>
            </w:r>
          </w:p>
        </w:tc>
        <w:tc>
          <w:tcPr>
            <w:tcW w:w="1134" w:type="dxa"/>
            <w:vAlign w:val="center"/>
          </w:tcPr>
          <w:p>
            <w:pPr>
              <w:spacing w:line="360" w:lineRule="exact"/>
              <w:jc w:val="center"/>
              <w:rPr>
                <w:lang w:val="en-US"/>
              </w:rPr>
            </w:pPr>
            <w:r>
              <w:rPr>
                <w:lang w:val="en-US"/>
              </w:rPr>
              <w:t>99.36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未命名(42C4)</w:t>
            </w:r>
          </w:p>
        </w:tc>
        <w:tc>
          <w:tcPr>
            <w:tcW w:w="1417" w:type="dxa"/>
            <w:vAlign w:val="center"/>
          </w:tcPr>
          <w:p>
            <w:pPr>
              <w:spacing w:line="360" w:lineRule="exact"/>
              <w:jc w:val="center"/>
              <w:rPr>
                <w:lang w:val="en-US"/>
              </w:rPr>
            </w:pPr>
            <w:r>
              <w:rPr>
                <w:lang w:val="en-US"/>
              </w:rPr>
              <w:t>5434.06</w:t>
            </w:r>
          </w:p>
        </w:tc>
        <w:tc>
          <w:tcPr>
            <w:tcW w:w="2552" w:type="dxa"/>
            <w:vAlign w:val="center"/>
          </w:tcPr>
          <w:p>
            <w:pPr>
              <w:spacing w:line="360" w:lineRule="exact"/>
              <w:jc w:val="center"/>
              <w:rPr>
                <w:lang w:val="en-US"/>
              </w:rPr>
            </w:pPr>
            <w:r>
              <w:rPr>
                <w:lang w:val="en-US"/>
              </w:rPr>
              <w:t>5126.34</w:t>
            </w:r>
          </w:p>
        </w:tc>
        <w:tc>
          <w:tcPr>
            <w:tcW w:w="1134" w:type="dxa"/>
            <w:vAlign w:val="center"/>
          </w:tcPr>
          <w:p>
            <w:pPr>
              <w:spacing w:line="360" w:lineRule="exact"/>
              <w:jc w:val="center"/>
              <w:rPr>
                <w:lang w:val="en-US"/>
              </w:rPr>
            </w:pPr>
            <w:r>
              <w:rPr>
                <w:lang w:val="en-US"/>
              </w:rPr>
              <w:t>94.34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未命名(42C8)</w:t>
            </w:r>
          </w:p>
        </w:tc>
        <w:tc>
          <w:tcPr>
            <w:tcW w:w="1417" w:type="dxa"/>
            <w:vAlign w:val="center"/>
          </w:tcPr>
          <w:p>
            <w:pPr>
              <w:spacing w:line="360" w:lineRule="exact"/>
              <w:jc w:val="center"/>
              <w:rPr>
                <w:lang w:val="en-US"/>
              </w:rPr>
            </w:pPr>
            <w:r>
              <w:rPr>
                <w:lang w:val="en-US"/>
              </w:rPr>
              <w:t>1269.52</w:t>
            </w:r>
          </w:p>
        </w:tc>
        <w:tc>
          <w:tcPr>
            <w:tcW w:w="2552" w:type="dxa"/>
            <w:vAlign w:val="center"/>
          </w:tcPr>
          <w:p>
            <w:pPr>
              <w:spacing w:line="360" w:lineRule="exact"/>
              <w:jc w:val="center"/>
              <w:rPr>
                <w:lang w:val="en-US"/>
              </w:rPr>
            </w:pPr>
            <w:r>
              <w:rPr>
                <w:lang w:val="en-US"/>
              </w:rPr>
              <w:t>1210.58</w:t>
            </w:r>
          </w:p>
        </w:tc>
        <w:tc>
          <w:tcPr>
            <w:tcW w:w="1134" w:type="dxa"/>
            <w:vAlign w:val="center"/>
          </w:tcPr>
          <w:p>
            <w:pPr>
              <w:spacing w:line="360" w:lineRule="exact"/>
              <w:jc w:val="center"/>
              <w:rPr>
                <w:lang w:val="en-US"/>
              </w:rPr>
            </w:pPr>
            <w:r>
              <w:rPr>
                <w:lang w:val="en-US"/>
              </w:rPr>
              <w:t>95.36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未命名(42CB)</w:t>
            </w:r>
          </w:p>
        </w:tc>
        <w:tc>
          <w:tcPr>
            <w:tcW w:w="1417" w:type="dxa"/>
            <w:vAlign w:val="center"/>
          </w:tcPr>
          <w:p>
            <w:pPr>
              <w:spacing w:line="360" w:lineRule="exact"/>
              <w:jc w:val="center"/>
              <w:rPr>
                <w:lang w:val="en-US"/>
              </w:rPr>
            </w:pPr>
            <w:r>
              <w:rPr>
                <w:lang w:val="en-US"/>
              </w:rPr>
              <w:t>1344.93</w:t>
            </w:r>
          </w:p>
        </w:tc>
        <w:tc>
          <w:tcPr>
            <w:tcW w:w="2552" w:type="dxa"/>
            <w:vAlign w:val="center"/>
          </w:tcPr>
          <w:p>
            <w:pPr>
              <w:spacing w:line="360" w:lineRule="exact"/>
              <w:jc w:val="center"/>
              <w:rPr>
                <w:lang w:val="en-US"/>
              </w:rPr>
            </w:pPr>
            <w:r>
              <w:rPr>
                <w:lang w:val="en-US"/>
              </w:rPr>
              <w:t>1296.95</w:t>
            </w:r>
          </w:p>
        </w:tc>
        <w:tc>
          <w:tcPr>
            <w:tcW w:w="1134" w:type="dxa"/>
            <w:vAlign w:val="center"/>
          </w:tcPr>
          <w:p>
            <w:pPr>
              <w:spacing w:line="360" w:lineRule="exact"/>
              <w:jc w:val="center"/>
              <w:rPr>
                <w:lang w:val="en-US"/>
              </w:rPr>
            </w:pPr>
            <w:r>
              <w:rPr>
                <w:lang w:val="en-US"/>
              </w:rPr>
              <w:t>96.43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未命名(42CE)</w:t>
            </w:r>
          </w:p>
        </w:tc>
        <w:tc>
          <w:tcPr>
            <w:tcW w:w="1417" w:type="dxa"/>
            <w:vAlign w:val="center"/>
          </w:tcPr>
          <w:p>
            <w:pPr>
              <w:spacing w:line="360" w:lineRule="exact"/>
              <w:jc w:val="center"/>
              <w:rPr>
                <w:lang w:val="en-US"/>
              </w:rPr>
            </w:pPr>
            <w:r>
              <w:rPr>
                <w:lang w:val="en-US"/>
              </w:rPr>
              <w:t>1314.28</w:t>
            </w:r>
          </w:p>
        </w:tc>
        <w:tc>
          <w:tcPr>
            <w:tcW w:w="2552" w:type="dxa"/>
            <w:vAlign w:val="center"/>
          </w:tcPr>
          <w:p>
            <w:pPr>
              <w:spacing w:line="360" w:lineRule="exact"/>
              <w:jc w:val="center"/>
              <w:rPr>
                <w:lang w:val="en-US"/>
              </w:rPr>
            </w:pPr>
            <w:r>
              <w:rPr>
                <w:lang w:val="en-US"/>
              </w:rPr>
              <w:t>1255.86</w:t>
            </w:r>
          </w:p>
        </w:tc>
        <w:tc>
          <w:tcPr>
            <w:tcW w:w="1134" w:type="dxa"/>
            <w:vAlign w:val="center"/>
          </w:tcPr>
          <w:p>
            <w:pPr>
              <w:spacing w:line="360" w:lineRule="exact"/>
              <w:jc w:val="center"/>
              <w:rPr>
                <w:lang w:val="en-US"/>
              </w:rPr>
            </w:pPr>
            <w:r>
              <w:rPr>
                <w:lang w:val="en-US"/>
              </w:rPr>
              <w:t>95.55</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未命名(42D1)</w:t>
            </w:r>
          </w:p>
        </w:tc>
        <w:tc>
          <w:tcPr>
            <w:tcW w:w="1417" w:type="dxa"/>
            <w:vAlign w:val="center"/>
          </w:tcPr>
          <w:p>
            <w:pPr>
              <w:spacing w:line="360" w:lineRule="exact"/>
              <w:jc w:val="center"/>
              <w:rPr>
                <w:lang w:val="en-US"/>
              </w:rPr>
            </w:pPr>
            <w:r>
              <w:rPr>
                <w:lang w:val="en-US"/>
              </w:rPr>
              <w:t>1521.61</w:t>
            </w:r>
          </w:p>
        </w:tc>
        <w:tc>
          <w:tcPr>
            <w:tcW w:w="2552" w:type="dxa"/>
            <w:vAlign w:val="center"/>
          </w:tcPr>
          <w:p>
            <w:pPr>
              <w:spacing w:line="360" w:lineRule="exact"/>
              <w:jc w:val="center"/>
              <w:rPr>
                <w:lang w:val="en-US"/>
              </w:rPr>
            </w:pPr>
            <w:r>
              <w:rPr>
                <w:lang w:val="en-US"/>
              </w:rPr>
              <w:t>1464.41</w:t>
            </w:r>
          </w:p>
        </w:tc>
        <w:tc>
          <w:tcPr>
            <w:tcW w:w="1134" w:type="dxa"/>
            <w:vAlign w:val="center"/>
          </w:tcPr>
          <w:p>
            <w:pPr>
              <w:spacing w:line="360" w:lineRule="exact"/>
              <w:jc w:val="center"/>
              <w:rPr>
                <w:lang w:val="en-US"/>
              </w:rPr>
            </w:pPr>
            <w:r>
              <w:rPr>
                <w:lang w:val="en-US"/>
              </w:rPr>
              <w:t>96.24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未命名(42D4)</w:t>
            </w:r>
          </w:p>
        </w:tc>
        <w:tc>
          <w:tcPr>
            <w:tcW w:w="1417" w:type="dxa"/>
            <w:vAlign w:val="center"/>
          </w:tcPr>
          <w:p>
            <w:pPr>
              <w:spacing w:line="360" w:lineRule="exact"/>
              <w:jc w:val="center"/>
              <w:rPr>
                <w:lang w:val="en-US"/>
              </w:rPr>
            </w:pPr>
            <w:r>
              <w:rPr>
                <w:lang w:val="en-US"/>
              </w:rPr>
              <w:t>285.11</w:t>
            </w:r>
          </w:p>
        </w:tc>
        <w:tc>
          <w:tcPr>
            <w:tcW w:w="2552" w:type="dxa"/>
            <w:vAlign w:val="center"/>
          </w:tcPr>
          <w:p>
            <w:pPr>
              <w:spacing w:line="360" w:lineRule="exact"/>
              <w:jc w:val="center"/>
              <w:rPr>
                <w:lang w:val="en-US"/>
              </w:rPr>
            </w:pPr>
            <w:r>
              <w:rPr>
                <w:lang w:val="en-US"/>
              </w:rPr>
              <w:t>271.55</w:t>
            </w:r>
          </w:p>
        </w:tc>
        <w:tc>
          <w:tcPr>
            <w:tcW w:w="1134" w:type="dxa"/>
            <w:vAlign w:val="center"/>
          </w:tcPr>
          <w:p>
            <w:pPr>
              <w:spacing w:line="360" w:lineRule="exact"/>
              <w:jc w:val="center"/>
              <w:rPr>
                <w:lang w:val="en-US"/>
              </w:rPr>
            </w:pPr>
            <w:r>
              <w:rPr>
                <w:lang w:val="en-US"/>
              </w:rPr>
              <w:t>95.24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未命名(42D7)</w:t>
            </w:r>
          </w:p>
        </w:tc>
        <w:tc>
          <w:tcPr>
            <w:tcW w:w="1417" w:type="dxa"/>
            <w:vAlign w:val="center"/>
          </w:tcPr>
          <w:p>
            <w:pPr>
              <w:spacing w:line="360" w:lineRule="exact"/>
              <w:jc w:val="center"/>
              <w:rPr>
                <w:lang w:val="en-US"/>
              </w:rPr>
            </w:pPr>
            <w:r>
              <w:rPr>
                <w:lang w:val="en-US"/>
              </w:rPr>
              <w:t>311.68</w:t>
            </w:r>
          </w:p>
        </w:tc>
        <w:tc>
          <w:tcPr>
            <w:tcW w:w="2552" w:type="dxa"/>
            <w:vAlign w:val="center"/>
          </w:tcPr>
          <w:p>
            <w:pPr>
              <w:spacing w:line="360" w:lineRule="exact"/>
              <w:jc w:val="center"/>
              <w:rPr>
                <w:lang w:val="en-US"/>
              </w:rPr>
            </w:pPr>
            <w:r>
              <w:rPr>
                <w:lang w:val="en-US"/>
              </w:rPr>
              <w:t>311.68</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未命名(42DA)</w:t>
            </w:r>
          </w:p>
        </w:tc>
        <w:tc>
          <w:tcPr>
            <w:tcW w:w="1417" w:type="dxa"/>
            <w:vAlign w:val="center"/>
          </w:tcPr>
          <w:p>
            <w:pPr>
              <w:spacing w:line="360" w:lineRule="exact"/>
              <w:jc w:val="center"/>
              <w:rPr>
                <w:lang w:val="en-US"/>
              </w:rPr>
            </w:pPr>
            <w:r>
              <w:rPr>
                <w:lang w:val="en-US"/>
              </w:rPr>
              <w:t>1540.81</w:t>
            </w:r>
          </w:p>
        </w:tc>
        <w:tc>
          <w:tcPr>
            <w:tcW w:w="2552" w:type="dxa"/>
            <w:vAlign w:val="center"/>
          </w:tcPr>
          <w:p>
            <w:pPr>
              <w:spacing w:line="360" w:lineRule="exact"/>
              <w:jc w:val="center"/>
              <w:rPr>
                <w:lang w:val="en-US"/>
              </w:rPr>
            </w:pPr>
            <w:r>
              <w:rPr>
                <w:lang w:val="en-US"/>
              </w:rPr>
              <w:t>1505.35</w:t>
            </w:r>
          </w:p>
        </w:tc>
        <w:tc>
          <w:tcPr>
            <w:tcW w:w="1134" w:type="dxa"/>
            <w:vAlign w:val="center"/>
          </w:tcPr>
          <w:p>
            <w:pPr>
              <w:spacing w:line="360" w:lineRule="exact"/>
              <w:jc w:val="center"/>
              <w:rPr>
                <w:lang w:val="en-US"/>
              </w:rPr>
            </w:pPr>
            <w:r>
              <w:rPr>
                <w:lang w:val="en-US"/>
              </w:rPr>
              <w:t>97.70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未命名(42DD)</w:t>
            </w:r>
          </w:p>
        </w:tc>
        <w:tc>
          <w:tcPr>
            <w:tcW w:w="1417" w:type="dxa"/>
            <w:vAlign w:val="center"/>
          </w:tcPr>
          <w:p>
            <w:pPr>
              <w:spacing w:line="360" w:lineRule="exact"/>
              <w:jc w:val="center"/>
              <w:rPr>
                <w:lang w:val="en-US"/>
              </w:rPr>
            </w:pPr>
            <w:r>
              <w:rPr>
                <w:lang w:val="en-US"/>
              </w:rPr>
              <w:t>1228.36</w:t>
            </w:r>
          </w:p>
        </w:tc>
        <w:tc>
          <w:tcPr>
            <w:tcW w:w="2552" w:type="dxa"/>
            <w:vAlign w:val="center"/>
          </w:tcPr>
          <w:p>
            <w:pPr>
              <w:spacing w:line="360" w:lineRule="exact"/>
              <w:jc w:val="center"/>
              <w:rPr>
                <w:lang w:val="en-US"/>
              </w:rPr>
            </w:pPr>
            <w:r>
              <w:rPr>
                <w:lang w:val="en-US"/>
              </w:rPr>
              <w:t>1155.63</w:t>
            </w:r>
          </w:p>
        </w:tc>
        <w:tc>
          <w:tcPr>
            <w:tcW w:w="1134" w:type="dxa"/>
            <w:vAlign w:val="center"/>
          </w:tcPr>
          <w:p>
            <w:pPr>
              <w:spacing w:line="360" w:lineRule="exact"/>
              <w:jc w:val="center"/>
              <w:rPr>
                <w:lang w:val="en-US"/>
              </w:rPr>
            </w:pPr>
            <w:r>
              <w:rPr>
                <w:lang w:val="en-US"/>
              </w:rPr>
              <w:t>94.08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未命名(42E0)</w:t>
            </w:r>
          </w:p>
        </w:tc>
        <w:tc>
          <w:tcPr>
            <w:tcW w:w="1417" w:type="dxa"/>
            <w:vAlign w:val="center"/>
          </w:tcPr>
          <w:p>
            <w:pPr>
              <w:spacing w:line="360" w:lineRule="exact"/>
              <w:jc w:val="center"/>
              <w:rPr>
                <w:lang w:val="en-US"/>
              </w:rPr>
            </w:pPr>
            <w:r>
              <w:rPr>
                <w:lang w:val="en-US"/>
              </w:rPr>
              <w:t>1155.79</w:t>
            </w:r>
          </w:p>
        </w:tc>
        <w:tc>
          <w:tcPr>
            <w:tcW w:w="2552" w:type="dxa"/>
            <w:vAlign w:val="center"/>
          </w:tcPr>
          <w:p>
            <w:pPr>
              <w:spacing w:line="360" w:lineRule="exact"/>
              <w:jc w:val="center"/>
              <w:rPr>
                <w:lang w:val="en-US"/>
              </w:rPr>
            </w:pPr>
            <w:r>
              <w:rPr>
                <w:lang w:val="en-US"/>
              </w:rPr>
              <w:t>1095.58</w:t>
            </w:r>
          </w:p>
        </w:tc>
        <w:tc>
          <w:tcPr>
            <w:tcW w:w="1134" w:type="dxa"/>
            <w:vAlign w:val="center"/>
          </w:tcPr>
          <w:p>
            <w:pPr>
              <w:spacing w:line="360" w:lineRule="exact"/>
              <w:jc w:val="center"/>
              <w:rPr>
                <w:lang w:val="en-US"/>
              </w:rPr>
            </w:pPr>
            <w:r>
              <w:rPr>
                <w:lang w:val="en-US"/>
              </w:rPr>
              <w:t>94.79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未命名(42E3)</w:t>
            </w:r>
          </w:p>
        </w:tc>
        <w:tc>
          <w:tcPr>
            <w:tcW w:w="1417" w:type="dxa"/>
            <w:vAlign w:val="center"/>
          </w:tcPr>
          <w:p>
            <w:pPr>
              <w:spacing w:line="360" w:lineRule="exact"/>
              <w:jc w:val="center"/>
              <w:rPr>
                <w:lang w:val="en-US"/>
              </w:rPr>
            </w:pPr>
            <w:r>
              <w:rPr>
                <w:lang w:val="en-US"/>
              </w:rPr>
              <w:t>686.10</w:t>
            </w:r>
          </w:p>
        </w:tc>
        <w:tc>
          <w:tcPr>
            <w:tcW w:w="2552" w:type="dxa"/>
            <w:vAlign w:val="center"/>
          </w:tcPr>
          <w:p>
            <w:pPr>
              <w:spacing w:line="360" w:lineRule="exact"/>
              <w:jc w:val="center"/>
              <w:rPr>
                <w:lang w:val="en-US"/>
              </w:rPr>
            </w:pPr>
            <w:r>
              <w:rPr>
                <w:lang w:val="en-US"/>
              </w:rPr>
              <w:t>666.39</w:t>
            </w:r>
          </w:p>
        </w:tc>
        <w:tc>
          <w:tcPr>
            <w:tcW w:w="1134" w:type="dxa"/>
            <w:vAlign w:val="center"/>
          </w:tcPr>
          <w:p>
            <w:pPr>
              <w:spacing w:line="360" w:lineRule="exact"/>
              <w:jc w:val="center"/>
              <w:rPr>
                <w:lang w:val="en-US"/>
              </w:rPr>
            </w:pPr>
            <w:r>
              <w:rPr>
                <w:lang w:val="en-US"/>
              </w:rPr>
              <w:t>97.13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未命名(42E7)</w:t>
            </w:r>
          </w:p>
        </w:tc>
        <w:tc>
          <w:tcPr>
            <w:tcW w:w="1417" w:type="dxa"/>
            <w:vAlign w:val="center"/>
          </w:tcPr>
          <w:p>
            <w:pPr>
              <w:spacing w:line="360" w:lineRule="exact"/>
              <w:jc w:val="center"/>
              <w:rPr>
                <w:lang w:val="en-US"/>
              </w:rPr>
            </w:pPr>
            <w:r>
              <w:rPr>
                <w:lang w:val="en-US"/>
              </w:rPr>
              <w:t>207.55</w:t>
            </w:r>
          </w:p>
        </w:tc>
        <w:tc>
          <w:tcPr>
            <w:tcW w:w="2552" w:type="dxa"/>
            <w:vAlign w:val="center"/>
          </w:tcPr>
          <w:p>
            <w:pPr>
              <w:spacing w:line="360" w:lineRule="exact"/>
              <w:jc w:val="center"/>
              <w:rPr>
                <w:lang w:val="en-US"/>
              </w:rPr>
            </w:pPr>
            <w:r>
              <w:rPr>
                <w:lang w:val="en-US"/>
              </w:rPr>
              <w:t>207.55</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未命名(42EA)</w:t>
            </w:r>
          </w:p>
        </w:tc>
        <w:tc>
          <w:tcPr>
            <w:tcW w:w="1417" w:type="dxa"/>
            <w:vAlign w:val="center"/>
          </w:tcPr>
          <w:p>
            <w:pPr>
              <w:spacing w:line="360" w:lineRule="exact"/>
              <w:jc w:val="center"/>
              <w:rPr>
                <w:lang w:val="en-US"/>
              </w:rPr>
            </w:pPr>
            <w:r>
              <w:rPr>
                <w:lang w:val="en-US"/>
              </w:rPr>
              <w:t>629.63</w:t>
            </w:r>
          </w:p>
        </w:tc>
        <w:tc>
          <w:tcPr>
            <w:tcW w:w="2552" w:type="dxa"/>
            <w:vAlign w:val="center"/>
          </w:tcPr>
          <w:p>
            <w:pPr>
              <w:spacing w:line="360" w:lineRule="exact"/>
              <w:jc w:val="center"/>
              <w:rPr>
                <w:lang w:val="en-US"/>
              </w:rPr>
            </w:pPr>
            <w:r>
              <w:rPr>
                <w:lang w:val="en-US"/>
              </w:rPr>
              <w:t>629.63</w:t>
            </w:r>
          </w:p>
        </w:tc>
        <w:tc>
          <w:tcPr>
            <w:tcW w:w="1134" w:type="dxa"/>
            <w:vAlign w:val="center"/>
          </w:tcPr>
          <w:p>
            <w:pPr>
              <w:spacing w:line="360" w:lineRule="exact"/>
              <w:jc w:val="center"/>
              <w:rPr>
                <w:lang w:val="en-US"/>
              </w:rPr>
            </w:pPr>
            <w:r>
              <w:rPr>
                <w:lang w:val="en-US"/>
              </w:rPr>
              <w:t>100.00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未命名(53A0)</w:t>
            </w:r>
          </w:p>
        </w:tc>
        <w:tc>
          <w:tcPr>
            <w:tcW w:w="1417" w:type="dxa"/>
            <w:vAlign w:val="center"/>
          </w:tcPr>
          <w:p>
            <w:pPr>
              <w:spacing w:line="360" w:lineRule="exact"/>
              <w:jc w:val="center"/>
              <w:rPr>
                <w:lang w:val="en-US"/>
              </w:rPr>
            </w:pPr>
            <w:r>
              <w:rPr>
                <w:lang w:val="en-US"/>
              </w:rPr>
              <w:t>174.81</w:t>
            </w:r>
          </w:p>
        </w:tc>
        <w:tc>
          <w:tcPr>
            <w:tcW w:w="2552" w:type="dxa"/>
            <w:vAlign w:val="center"/>
          </w:tcPr>
          <w:p>
            <w:pPr>
              <w:spacing w:line="360" w:lineRule="exact"/>
              <w:jc w:val="center"/>
              <w:rPr>
                <w:lang w:val="en-US"/>
              </w:rPr>
            </w:pPr>
            <w:r>
              <w:rPr>
                <w:lang w:val="en-US"/>
              </w:rPr>
              <w:t>127.24</w:t>
            </w:r>
          </w:p>
        </w:tc>
        <w:tc>
          <w:tcPr>
            <w:tcW w:w="1134" w:type="dxa"/>
            <w:vAlign w:val="center"/>
          </w:tcPr>
          <w:p>
            <w:pPr>
              <w:spacing w:line="360" w:lineRule="exact"/>
              <w:jc w:val="center"/>
              <w:rPr>
                <w:lang w:val="en-US"/>
              </w:rPr>
            </w:pPr>
            <w:r>
              <w:rPr>
                <w:lang w:val="en-US"/>
              </w:rPr>
              <w:t>72.79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未命名(5706)</w:t>
            </w:r>
          </w:p>
        </w:tc>
        <w:tc>
          <w:tcPr>
            <w:tcW w:w="1417" w:type="dxa"/>
            <w:vAlign w:val="center"/>
          </w:tcPr>
          <w:p>
            <w:pPr>
              <w:spacing w:line="360" w:lineRule="exact"/>
              <w:jc w:val="center"/>
              <w:rPr>
                <w:lang w:val="en-US"/>
              </w:rPr>
            </w:pPr>
            <w:r>
              <w:rPr>
                <w:lang w:val="en-US"/>
              </w:rPr>
              <w:t>727.24</w:t>
            </w:r>
          </w:p>
        </w:tc>
        <w:tc>
          <w:tcPr>
            <w:tcW w:w="2552" w:type="dxa"/>
            <w:vAlign w:val="center"/>
          </w:tcPr>
          <w:p>
            <w:pPr>
              <w:spacing w:line="360" w:lineRule="exact"/>
              <w:jc w:val="center"/>
              <w:rPr>
                <w:lang w:val="en-US"/>
              </w:rPr>
            </w:pPr>
            <w:r>
              <w:rPr>
                <w:lang w:val="en-US"/>
              </w:rPr>
              <w:t>694.02</w:t>
            </w:r>
          </w:p>
        </w:tc>
        <w:tc>
          <w:tcPr>
            <w:tcW w:w="1134" w:type="dxa"/>
            <w:vAlign w:val="center"/>
          </w:tcPr>
          <w:p>
            <w:pPr>
              <w:spacing w:line="360" w:lineRule="exact"/>
              <w:jc w:val="center"/>
              <w:rPr>
                <w:lang w:val="en-US"/>
              </w:rPr>
            </w:pPr>
            <w:r>
              <w:rPr>
                <w:lang w:val="en-US"/>
              </w:rPr>
              <w:t>95.43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未命名(570A)</w:t>
            </w:r>
          </w:p>
        </w:tc>
        <w:tc>
          <w:tcPr>
            <w:tcW w:w="1417" w:type="dxa"/>
            <w:vAlign w:val="center"/>
          </w:tcPr>
          <w:p>
            <w:pPr>
              <w:spacing w:line="360" w:lineRule="exact"/>
              <w:jc w:val="center"/>
              <w:rPr>
                <w:lang w:val="en-US"/>
              </w:rPr>
            </w:pPr>
            <w:r>
              <w:rPr>
                <w:lang w:val="en-US"/>
              </w:rPr>
              <w:t>1069.36</w:t>
            </w:r>
          </w:p>
        </w:tc>
        <w:tc>
          <w:tcPr>
            <w:tcW w:w="2552" w:type="dxa"/>
            <w:vAlign w:val="center"/>
          </w:tcPr>
          <w:p>
            <w:pPr>
              <w:spacing w:line="360" w:lineRule="exact"/>
              <w:jc w:val="center"/>
              <w:rPr>
                <w:lang w:val="en-US"/>
              </w:rPr>
            </w:pPr>
            <w:r>
              <w:rPr>
                <w:lang w:val="en-US"/>
              </w:rPr>
              <w:t>977.87</w:t>
            </w:r>
          </w:p>
        </w:tc>
        <w:tc>
          <w:tcPr>
            <w:tcW w:w="1134" w:type="dxa"/>
            <w:vAlign w:val="center"/>
          </w:tcPr>
          <w:p>
            <w:pPr>
              <w:spacing w:line="360" w:lineRule="exact"/>
              <w:jc w:val="center"/>
              <w:rPr>
                <w:lang w:val="en-US"/>
              </w:rPr>
            </w:pPr>
            <w:r>
              <w:rPr>
                <w:lang w:val="en-US"/>
              </w:rPr>
              <w:t>91.44</w:t>
            </w:r>
          </w:p>
        </w:tc>
        <w:tc>
          <w:tcPr>
            <w:tcW w:w="835" w:type="dxa"/>
            <w:vAlign w:val="center"/>
          </w:tcPr>
          <w:p>
            <w:pPr>
              <w:spacing w:line="360" w:lineRule="exact"/>
              <w:jc w:val="center"/>
              <w:rPr>
                <w:lang w:val="en-US"/>
              </w:rPr>
            </w:pPr>
            <w:r>
              <w:rPr>
                <w:lang w:val="en-US"/>
              </w:rPr>
              <w:t>是</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8"/>
    </w:p>
    <w:p>
      <w:pPr>
        <w:rPr>
          <w:lang w:val="en-US"/>
        </w:rPr>
      </w:pPr>
      <w:r>
        <w:rPr>
          <w:rFonts w:hint="eastAsia"/>
          <w:lang w:val="en-US"/>
        </w:rPr>
        <w:t>结论：本项目中所有建筑均满足“50%以上可开启外窗室内外表面的风压差大于0.5Pa”的要求。</w:t>
      </w:r>
      <w:bookmarkEnd w:id="39"/>
      <w:r>
        <w:rPr>
          <w:rFonts w:hint="eastAsia"/>
          <w:lang w:val="en-US"/>
        </w:rPr>
        <w:t xml:space="preserve"> </w:t>
      </w:r>
    </w:p>
    <w:p>
      <w:pPr>
        <w:rPr>
          <w:lang w:val="en-US"/>
        </w:rPr>
      </w:pPr>
      <w:bookmarkStart w:id="67" w:name="其他工况"/>
      <w:bookmarkEnd w:id="67"/>
      <w:r>
        <w:rPr>
          <w:rFonts w:hint="eastAsia"/>
          <w:lang w:val="en-US"/>
        </w:rPr>
        <w:t xml:space="preserve"> </w:t>
      </w:r>
    </w:p>
    <w:p>
      <w:pPr>
        <w:pStyle w:val="4"/>
      </w:pPr>
      <w:bookmarkStart w:id="68" w:name="_Toc509844764"/>
      <w:bookmarkStart w:id="69" w:name="_Toc17422"/>
      <w:r>
        <w:rPr>
          <w:rFonts w:hint="eastAsia"/>
        </w:rPr>
        <w:t>结论</w:t>
      </w:r>
      <w:bookmarkEnd w:id="68"/>
      <w:bookmarkEnd w:id="69"/>
    </w:p>
    <w:bookmarkEnd w:id="0"/>
    <w:bookmarkEnd w:id="1"/>
    <w:p>
      <w:pPr>
        <w:pStyle w:val="5"/>
      </w:pPr>
      <w:bookmarkStart w:id="70" w:name="_Toc26635"/>
      <w:r>
        <w:rPr>
          <w:rFonts w:hint="eastAsia"/>
        </w:rPr>
        <w:t>过渡季、夏季工况达标判断</w:t>
      </w:r>
      <w:bookmarkEnd w:id="2"/>
      <w:bookmarkEnd w:id="7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End w:id="3"/>
            <w:r>
              <w:rPr>
                <w:rFonts w:hint="eastAsia"/>
                <w:lang w:val="en-US" w:eastAsia="zh-CN"/>
              </w:rPr>
              <w:t>无</w:t>
            </w:r>
            <w:r>
              <w:rPr>
                <w:rFonts w:hint="eastAsia"/>
                <w:lang w:val="en-US"/>
              </w:rPr>
              <w:t>无风区</w:t>
            </w:r>
          </w:p>
          <w:bookmarkEnd w:id="4"/>
        </w:tc>
        <w:tc>
          <w:tcPr>
            <w:tcW w:w="1985" w:type="dxa"/>
            <w:vMerge w:val="restart"/>
            <w:tcBorders>
              <w:top w:val="single" w:color="auto" w:sz="4" w:space="0"/>
            </w:tcBorders>
            <w:shd w:val="clear" w:color="auto" w:fill="auto"/>
            <w:vAlign w:val="center"/>
          </w:tcPr>
          <w:p>
            <w:pPr>
              <w:jc w:val="center"/>
              <w:rPr>
                <w:rFonts w:hint="eastAsia" w:eastAsia="宋体"/>
                <w:lang w:val="en-US" w:eastAsia="zh-CN"/>
              </w:rPr>
            </w:pPr>
            <w:r>
              <w:rPr>
                <w:rFonts w:hint="eastAsia"/>
                <w:b/>
                <w:lang w:val="en-US" w:eastAsia="zh-CN"/>
              </w:rPr>
              <w:t>达标</w:t>
            </w:r>
          </w:p>
          <w:bookmarkEnd w:id="5"/>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3</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r>
              <w:rPr>
                <w:rFonts w:hint="eastAsia"/>
                <w:lang w:val="en-US"/>
              </w:rPr>
              <w:t>满足</w:t>
            </w:r>
            <w:bookmarkEnd w:id="6"/>
            <w:r>
              <w:rPr>
                <w:rFonts w:hint="eastAsia"/>
                <w:lang w:val="en-US"/>
              </w:rPr>
              <w:t>标准要求</w:t>
            </w:r>
          </w:p>
        </w:tc>
        <w:tc>
          <w:tcPr>
            <w:tcW w:w="1985" w:type="dxa"/>
            <w:shd w:val="clear" w:color="auto" w:fill="auto"/>
            <w:vAlign w:val="center"/>
          </w:tcPr>
          <w:p>
            <w:pPr>
              <w:jc w:val="center"/>
              <w:rPr>
                <w:b/>
                <w:lang w:val="en-US"/>
              </w:rPr>
            </w:pPr>
            <w:r>
              <w:rPr>
                <w:rFonts w:hint="eastAsia"/>
                <w:b/>
                <w:lang w:val="en-US"/>
              </w:rPr>
              <w:t>达标</w:t>
            </w:r>
            <w:bookmarkEnd w:id="7"/>
          </w:p>
        </w:tc>
        <w:tc>
          <w:tcPr>
            <w:tcW w:w="1416" w:type="dxa"/>
            <w:shd w:val="clear" w:color="auto" w:fill="auto"/>
            <w:vAlign w:val="center"/>
          </w:tcPr>
          <w:p>
            <w:pPr>
              <w:jc w:val="center"/>
              <w:rPr>
                <w:lang w:val="en-US"/>
              </w:rPr>
            </w:pPr>
            <w:r>
              <w:rPr>
                <w:rFonts w:hint="eastAsia"/>
                <w:lang w:val="en-US"/>
              </w:rPr>
              <w:t>2</w:t>
            </w:r>
            <w:bookmarkEnd w:id="32"/>
            <w:r>
              <w:rPr>
                <w:rFonts w:hint="eastAsia"/>
                <w:lang w:val="en-US"/>
              </w:rPr>
              <w:t>分</w:t>
            </w:r>
          </w:p>
        </w:tc>
      </w:tr>
      <w:bookmarkEnd w:id="8"/>
    </w:tbl>
    <w:p>
      <w:pPr>
        <w:rPr>
          <w:szCs w:val="21"/>
          <w:lang w:val="en-US"/>
        </w:rPr>
      </w:pPr>
    </w:p>
    <w:p>
      <w:pPr>
        <w:pStyle w:val="3"/>
        <w:ind w:firstLine="0" w:firstLineChars="0"/>
        <w:rPr>
          <w:lang w:val="en-US"/>
        </w:rPr>
      </w:pPr>
      <w:r>
        <w:rPr>
          <w:rFonts w:hint="eastAsia"/>
          <w:lang w:val="en-US"/>
        </w:rPr>
        <w:t>综合上述达标判断详表的信息，可知本项目得分为</w:t>
      </w:r>
      <w:r>
        <w:rPr>
          <w:rFonts w:hint="eastAsia"/>
          <w:lang w:val="en-US" w:eastAsia="zh-CN"/>
        </w:rPr>
        <w:t>5</w:t>
      </w:r>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2504A"/>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413E4D48"/>
    <w:rsid w:val="6FA2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2.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tmp2.dotx</Template>
  <Pages>16</Pages>
  <Words>4609</Words>
  <Characters>5654</Characters>
  <Lines>259</Lines>
  <Paragraphs>273</Paragraphs>
  <TotalTime>1</TotalTime>
  <ScaleCrop>false</ScaleCrop>
  <LinksUpToDate>false</LinksUpToDate>
  <CharactersWithSpaces>5841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2021-12-30T13:15:00Z</dcterms:created>
  <dc:creator>伲喃仁</dc:creator>
  <cp:lastModifiedBy>dgjy0</cp:lastModifiedBy>
  <dcterms:modified xsi:type="dcterms:W3CDTF">2022-01-02T01:52:07Z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795828FF17C447DBAE09FB9E8EE40372</vt:lpwstr>
  </property>
  <property fmtid="{D5CDD505-2E9C-101B-9397-08002B2CF9AE}" pid="3" name="KSOProductBuildVer">
    <vt:lpwstr>2052-11.1.0.11194</vt:lpwstr>
  </property>
</Properties>
</file>