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rFonts w:eastAsia="宋体" w:eastAsiaTheme="minorEastAsia"/>
          <w:sz w:val="24"/>
          <w:szCs w:val="40"/>
        </w:rPr>
      </w:pPr>
      <w:r>
        <w:rPr>
          <w:rFonts w:eastAsia="宋体" w:eastAsiaTheme="minorEastAsia"/>
          <w:sz w:val="24"/>
          <w:szCs w:val="40"/>
        </w:rPr>
        <w:t xml:space="preserve">5.1.5 </w:t>
      </w:r>
      <w:r>
        <w:rPr>
          <w:rFonts w:eastAsiaTheme="minorEastAsia"/>
          <w:sz w:val="24"/>
          <w:szCs w:val="40"/>
        </w:rPr>
        <w:t>建筑照明应符合下列规定：</w:t>
      </w:r>
      <w:r>
        <w:rPr>
          <w:rFonts w:eastAsia="宋体" w:eastAsiaTheme="minorEastAsia"/>
          <w:sz w:val="24"/>
          <w:szCs w:val="40"/>
        </w:rPr>
        <w:t>1</w:t>
      </w:r>
      <w:r>
        <w:rPr>
          <w:rFonts w:eastAsiaTheme="minorEastAsia"/>
          <w:sz w:val="24"/>
          <w:szCs w:val="40"/>
        </w:rPr>
        <w:t>照明数量和质量应符合现行国家标准《建筑照明设计标准》</w:t>
      </w:r>
      <w:r>
        <w:rPr>
          <w:rFonts w:eastAsia="宋体" w:eastAsiaTheme="minorEastAsia"/>
          <w:sz w:val="24"/>
          <w:szCs w:val="40"/>
        </w:rPr>
        <w:t>GB50034</w:t>
      </w:r>
      <w:r>
        <w:rPr>
          <w:rFonts w:eastAsiaTheme="minorEastAsia"/>
          <w:sz w:val="24"/>
          <w:szCs w:val="40"/>
        </w:rPr>
        <w:t>的规定；</w:t>
      </w:r>
      <w:r>
        <w:rPr>
          <w:rFonts w:eastAsia="宋体" w:eastAsiaTheme="minorEastAsia"/>
          <w:sz w:val="24"/>
          <w:szCs w:val="40"/>
        </w:rPr>
        <w:t>2</w:t>
      </w:r>
      <w:r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>
        <w:rPr>
          <w:rFonts w:eastAsia="宋体" w:eastAsiaTheme="minorEastAsia"/>
          <w:sz w:val="24"/>
          <w:szCs w:val="40"/>
        </w:rPr>
        <w:t>GBT20145</w:t>
      </w:r>
      <w:r>
        <w:rPr>
          <w:rFonts w:eastAsiaTheme="minorEastAsia"/>
          <w:sz w:val="24"/>
          <w:szCs w:val="40"/>
        </w:rPr>
        <w:t>规定的无危险类照明产品；</w:t>
      </w:r>
      <w:r>
        <w:rPr>
          <w:rFonts w:eastAsia="宋体"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>选用</w:t>
      </w:r>
      <w:r>
        <w:rPr>
          <w:rFonts w:eastAsia="宋体" w:eastAsiaTheme="minorEastAsia"/>
          <w:sz w:val="24"/>
          <w:szCs w:val="40"/>
        </w:rPr>
        <w:t>LED</w:t>
      </w:r>
      <w:r>
        <w:rPr>
          <w:rFonts w:eastAsiaTheme="minorEastAsia"/>
          <w:sz w:val="24"/>
          <w:szCs w:val="40"/>
        </w:rPr>
        <w:t>照明产品的光输出波形的波动深度应满足现行国家标准《</w:t>
      </w:r>
      <w:r>
        <w:rPr>
          <w:rFonts w:eastAsia="宋体" w:eastAsiaTheme="minorEastAsia"/>
          <w:sz w:val="24"/>
          <w:szCs w:val="40"/>
        </w:rPr>
        <w:t>LED</w:t>
      </w:r>
      <w:r>
        <w:rPr>
          <w:rFonts w:eastAsiaTheme="minorEastAsia"/>
          <w:sz w:val="24"/>
          <w:szCs w:val="40"/>
        </w:rPr>
        <w:t>室内照明应用技术要求》</w:t>
      </w:r>
      <w:r>
        <w:rPr>
          <w:rFonts w:eastAsia="宋体" w:eastAsiaTheme="minorEastAsia"/>
          <w:sz w:val="24"/>
          <w:szCs w:val="40"/>
        </w:rPr>
        <w:t>GBT31831</w:t>
      </w:r>
      <w:r>
        <w:rPr>
          <w:rFonts w:eastAsiaTheme="minorEastAsia"/>
          <w:sz w:val="24"/>
          <w:szCs w:val="40"/>
        </w:rPr>
        <w:t>的规定。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014"/>
        <w:gridCol w:w="871"/>
        <w:gridCol w:w="870"/>
        <w:gridCol w:w="1277"/>
        <w:gridCol w:w="1277"/>
        <w:gridCol w:w="981"/>
        <w:gridCol w:w="981"/>
        <w:gridCol w:w="1"/>
        <w:gridCol w:w="910"/>
        <w:gridCol w:w="1252"/>
      </w:tblGrid>
      <w:tr>
        <w:trPr/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</w:t>
            </w:r>
            <w:r>
              <w:rPr>
                <w:rFonts w:cs="Times New Roman" w:ascii="Times New Roman" w:hAnsi="Times New Roman"/>
                <w:szCs w:val="21"/>
              </w:rPr>
              <w:t>lx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</w:t>
            </w:r>
            <w:r>
              <w:rPr>
                <w:rFonts w:cs="Times New Roman" w:ascii="Times New Roman" w:hAnsi="Times New Roman"/>
                <w:szCs w:val="21"/>
              </w:rPr>
              <w:t>UGR/GR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cs="Times New Roman" w:ascii="Times New Roman" w:hAnsi="Times New Roman"/>
                <w:i/>
                <w:iCs/>
                <w:szCs w:val="21"/>
              </w:rPr>
              <w:t>U</w:t>
            </w:r>
            <w:r>
              <w:rPr>
                <w:rFonts w:cs="Times New Roman" w:ascii="Times New Roman" w:hAnsi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cs="Times New Roman" w:ascii="Times New Roman" w:hAnsi="Times New Roman"/>
                <w:i/>
                <w:iCs/>
                <w:szCs w:val="21"/>
              </w:rPr>
              <w:t>R</w:t>
            </w:r>
            <w:r>
              <w:rPr>
                <w:rFonts w:cs="Times New Roman" w:ascii="Times New Roman" w:hAnsi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rPr/>
        <w:tc>
          <w:tcPr>
            <w:tcW w:w="1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55160732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  <w:szCs w:val="21"/>
                  </w:rPr>
                </w:pPr>
                <w:r>
                  <w:rPr>
                    <w:rFonts w:ascii="宋体" w:hAnsi="宋体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4155483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7054260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9483328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2664490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7346865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5191105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2454300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10142507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51693629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  <w:szCs w:val="21"/>
                  </w:rPr>
                </w:pPr>
                <w:r>
                  <w:rPr>
                    <w:rFonts w:ascii="宋体" w:hAnsi="宋体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6903569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0113062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5311438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1542383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0229739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9414124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3306889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2182256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61350798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  <w:szCs w:val="21"/>
                  </w:rPr>
                </w:pPr>
                <w:r>
                  <w:rPr>
                    <w:rFonts w:ascii="宋体" w:hAnsi="宋体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4006806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2383397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6479000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7762188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3928569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0691938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14394125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0942140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70993806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  <w:szCs w:val="21"/>
                  </w:rPr>
                </w:pPr>
                <w:r>
                  <w:rPr>
                    <w:rFonts w:ascii="宋体" w:hAnsi="宋体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1841113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98885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4527064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5161635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0407696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0385248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6993374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5865120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94229851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  <w:szCs w:val="21"/>
                  </w:rPr>
                </w:pPr>
                <w:r>
                  <w:rPr>
                    <w:rFonts w:ascii="宋体" w:hAnsi="宋体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5935445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88851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9620431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3997690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5881001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0969294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87201279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5312736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32140488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  <w:szCs w:val="21"/>
                  </w:rPr>
                </w:pPr>
                <w:r>
                  <w:rPr>
                    <w:rFonts w:ascii="宋体" w:hAnsi="宋体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6442666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12873770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6184206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0459102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4667248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38182559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6818907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6534062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83665461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  <w:szCs w:val="21"/>
                  </w:rPr>
                </w:pPr>
                <w:r>
                  <w:rPr>
                    <w:rFonts w:ascii="宋体" w:hAnsi="宋体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0746397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5597721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0943803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6197295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2840405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5503096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2779979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9297337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107067266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  <w:szCs w:val="21"/>
                  </w:rPr>
                </w:pPr>
                <w:r>
                  <w:rPr>
                    <w:rFonts w:ascii="宋体" w:hAnsi="宋体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9850125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9862982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4751023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5686279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9509690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1870195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3554709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0753875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请简要说明照明系统灯具的选型原则、主要灯具型号和参数以及照明控制措施：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1910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支架灯、灯盘采用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T5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管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LED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灯。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LED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的光效值不低于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90Lm/W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。显色指数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Ra≥80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；吸顶灯采用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T5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环形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LED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利用自然光。</w:t>
            </w:r>
          </w:p>
        </w:tc>
      </w:tr>
    </w:tbl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人员长期停留的场所采用符合规定的无危险类照明产品：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是，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否</w:t>
      </w:r>
      <w:r>
        <w:rPr>
          <w:rFonts w:ascii="Times New Roman" w:hAnsi="Times New Roman" w:cs="Times New Roman"/>
          <w:szCs w:val="21"/>
        </w:rPr>
        <w:t>；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LED</w:t>
      </w:r>
      <w:r>
        <w:rPr>
          <w:rFonts w:ascii="Times New Roman" w:hAnsi="Times New Roman" w:cs="Times New Roman"/>
          <w:szCs w:val="21"/>
        </w:rPr>
        <w:t>照明产品的光输出波形的波动深度满足标准的规定：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是，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否。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）与建筑照明相关的电气竣工图及说明；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）照明计算书；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）产品说明书和产品型式检验报告；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）现场检测报告。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1691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电气设计说明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27e4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8627e4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8627e4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8627e4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8627e4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8627e4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8627e4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8627e4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8627e4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8627e4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8627e4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8627e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862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2</Pages>
  <Words>539</Words>
  <Characters>594</Characters>
  <CharactersWithSpaces>742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dc:description/>
  <dc:language>zh-CN</dc:language>
  <cp:lastModifiedBy/>
  <dcterms:modified xsi:type="dcterms:W3CDTF">2022-03-13T01:14:59Z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