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0" w:after="0"/>
        <w:rPr>
          <w:rFonts w:eastAsia="宋体" w:eastAsiaTheme="minorEastAsia"/>
          <w:sz w:val="24"/>
          <w:szCs w:val="40"/>
        </w:rPr>
      </w:pPr>
      <w:r>
        <w:rPr>
          <w:rFonts w:eastAsia="宋体" w:eastAsiaTheme="minorEastAsia"/>
          <w:sz w:val="24"/>
          <w:szCs w:val="40"/>
        </w:rPr>
        <w:t xml:space="preserve">5.2.9 </w:t>
      </w:r>
      <w:r>
        <w:rPr>
          <w:rFonts w:eastAsiaTheme="minorEastAsia"/>
          <w:sz w:val="24"/>
          <w:szCs w:val="40"/>
        </w:rPr>
        <w:t>具有良好的室内热湿环境。（</w:t>
      </w:r>
      <w:r>
        <w:rPr>
          <w:rFonts w:eastAsia="宋体" w:eastAsiaTheme="minorEastAsia"/>
          <w:sz w:val="24"/>
          <w:szCs w:val="40"/>
        </w:rPr>
        <w:t>8</w:t>
      </w:r>
      <w:r>
        <w:rPr>
          <w:rFonts w:eastAsiaTheme="minorEastAsia"/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7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4"/>
        <w:gridCol w:w="3108"/>
        <w:gridCol w:w="1044"/>
        <w:gridCol w:w="1525"/>
        <w:gridCol w:w="1366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>
          <w:trHeight w:val="138" w:hRule="atLeast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1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自然通风、复合通风：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主要功能房间室内热环境参数在适应性热舒适区域的时间比例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30%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2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955776351"/>
            </w:sdtPr>
            <w:sdtContent>
              <w:p>
                <w:pPr>
                  <w:pStyle w:val="Normal"/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5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>
          <w:trHeight w:val="132" w:hRule="atLeast"/>
        </w:trPr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40%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3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>
          <w:trHeight w:val="132" w:hRule="atLeast"/>
        </w:trPr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50%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4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>
          <w:trHeight w:val="132" w:hRule="atLeast"/>
        </w:trPr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60%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5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>
          <w:trHeight w:val="132" w:hRule="atLeast"/>
        </w:trPr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70%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6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>
          <w:trHeight w:val="132" w:hRule="atLeast"/>
        </w:trPr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80%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7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>
          <w:trHeight w:val="132" w:hRule="atLeast"/>
        </w:trPr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90%</w:t>
            </w:r>
            <w:r>
              <w:rPr>
                <w:rFonts w:ascii="Times New Roman" w:hAnsi="Times New Roman" w:cs="Times New Roman"/>
                <w:szCs w:val="21"/>
              </w:rPr>
              <w:t>及以上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8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>
          <w:trHeight w:val="312" w:hRule="atLeast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2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人工冷热源：</w:t>
            </w:r>
          </w:p>
          <w:p>
            <w:pPr>
              <w:pStyle w:val="Normal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主要功能房间达到现行国家标准《民用建筑室内热湿环境评价标准》规定的室内人工冷热源热湿环境整体评价</w:t>
            </w:r>
            <w:r>
              <w:rPr>
                <w:rFonts w:cs="Times New Roman" w:ascii="Times New Roman" w:hAnsi="Times New Roman"/>
                <w:szCs w:val="21"/>
              </w:rPr>
              <w:t>II</w:t>
            </w:r>
            <w:r>
              <w:rPr>
                <w:rFonts w:ascii="Times New Roman" w:hAnsi="Times New Roman" w:cs="Times New Roman"/>
                <w:szCs w:val="21"/>
              </w:rPr>
              <w:t>级面积比例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60%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5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>
          <w:trHeight w:val="311" w:hRule="atLeast"/>
        </w:trPr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70%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6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>
          <w:trHeight w:val="311" w:hRule="atLeast"/>
        </w:trPr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80%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7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  <w:tr>
        <w:trPr>
          <w:trHeight w:val="311" w:hRule="atLeast"/>
        </w:trPr>
        <w:tc>
          <w:tcPr>
            <w:tcW w:w="7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31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90%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  <w:t>8</w:t>
            </w:r>
          </w:p>
        </w:tc>
        <w:tc>
          <w:tcPr>
            <w:tcW w:w="1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Times New Roman" w:ascii="Times New Roman" w:hAnsi="Times New Roman"/>
                <w:szCs w:val="21"/>
              </w:rPr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请对室内热湿环境及热舒适保持时间进行简要说明：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282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）暖通竣工图及设计说明、室内温度模拟分析报告和舒适温度预计达标比例分析报告；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）预计达标比例计算报告或室内热湿环境实测值及</w:t>
      </w:r>
      <w:r>
        <w:rPr>
          <w:rFonts w:eastAsia="宋体" w:cs="Times New Roman" w:ascii="Times New Roman" w:hAnsi="Times New Roman"/>
          <w:szCs w:val="21"/>
        </w:rPr>
        <w:t>PMV</w:t>
      </w:r>
      <w:r>
        <w:rPr>
          <w:rFonts w:ascii="Times New Roman" w:hAnsi="Times New Roman" w:cs="Times New Roman"/>
          <w:szCs w:val="21"/>
        </w:rPr>
        <w:t>和</w:t>
      </w:r>
      <w:r>
        <w:rPr>
          <w:rFonts w:eastAsia="宋体" w:cs="Times New Roman" w:ascii="Times New Roman" w:hAnsi="Times New Roman"/>
          <w:szCs w:val="21"/>
        </w:rPr>
        <w:t>PPD</w:t>
      </w:r>
      <w:r>
        <w:rPr>
          <w:rFonts w:ascii="Times New Roman" w:hAnsi="Times New Roman" w:cs="Times New Roman"/>
          <w:szCs w:val="21"/>
        </w:rPr>
        <w:t>达标比例计算报告；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）室内温度模拟分析报告；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eastAsia="宋体" w:cs="Times New Roman" w:ascii="Times New Roman" w:hAnsi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）舒适温度预计达标比例分析报告。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117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352e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2d352e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2d352e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2d352e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2d352e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2d352e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2d352e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2d352e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2d352e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2d352e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2d352e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2d352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2d35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6ECF8F39514051976851404AD8E9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26BEC5-8450-4A6B-A7DD-0721268C3AC6}"/>
      </w:docPartPr>
      <w:docPartBody>
        <w:p w:rsidR="00901E7A" w:rsidRDefault="00AF0621" w:rsidP="00AF0621">
          <w:pPr>
            <w:pStyle w:val="416ECF8F39514051976851404AD8E9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21"/>
    <w:rsid w:val="006B0DD9"/>
    <w:rsid w:val="00751386"/>
    <w:rsid w:val="00901E7A"/>
    <w:rsid w:val="00A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621"/>
    <w:rPr>
      <w:color w:val="808080"/>
    </w:rPr>
  </w:style>
  <w:style w:type="paragraph" w:customStyle="1" w:styleId="416ECF8F39514051976851404AD8E9ED">
    <w:name w:val="416ECF8F39514051976851404AD8E9ED"/>
    <w:rsid w:val="00AF0621"/>
    <w:pPr>
      <w:widowControl w:val="0"/>
      <w:jc w:val="both"/>
    </w:pPr>
  </w:style>
  <w:style w:type="paragraph" w:customStyle="1" w:styleId="F6FA6BF60D5E4C0C8F37E31379BC942D">
    <w:name w:val="F6FA6BF60D5E4C0C8F37E31379BC942D"/>
    <w:rsid w:val="00AF0621"/>
    <w:pPr>
      <w:widowControl w:val="0"/>
      <w:jc w:val="both"/>
    </w:pPr>
  </w:style>
  <w:style w:type="paragraph" w:customStyle="1" w:styleId="17BBD57EAF714CB19FE1F8380E710A07">
    <w:name w:val="17BBD57EAF714CB19FE1F8380E710A07"/>
    <w:rsid w:val="00AF062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Trio_Office/6.2.8.2$Windows_x86 LibreOffice_project/</Application>
  <Pages>2</Pages>
  <Words>315</Words>
  <Characters>346</Characters>
  <CharactersWithSpaces>352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dc:description/>
  <dc:language>zh-CN</dc:language>
  <cp:lastModifiedBy/>
  <dcterms:modified xsi:type="dcterms:W3CDTF">2022-03-11T22:01:03Z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