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6.2.6 </w:t>
      </w:r>
      <w:r>
        <w:rPr>
          <w:sz w:val="24"/>
          <w:szCs w:val="40"/>
        </w:rPr>
        <w:t>设置分类、分级用能自动远传计量系统，且设置能源管理系统实现对建筑能耗的监测、数据分析和管理。（</w:t>
      </w:r>
      <w:r>
        <w:rPr>
          <w:sz w:val="24"/>
          <w:szCs w:val="40"/>
        </w:rPr>
        <w:t>8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6"/>
        <w:gridCol w:w="4961"/>
        <w:gridCol w:w="1"/>
        <w:gridCol w:w="1700"/>
        <w:gridCol w:w="1625"/>
      </w:tblGrid>
      <w:tr>
        <w:trPr>
          <w:trHeight w:val="284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rPr>
          <w:trHeight w:val="284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83751461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8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4" w:hRule="atLeast"/>
        </w:trPr>
        <w:tc>
          <w:tcPr>
            <w:tcW w:w="5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01420278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8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以下实行能耗分项计量的部分：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bookmarkStart w:id="0" w:name="__DdeLink__97_2667139008"/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bookmarkEnd w:id="0"/>
      <w:r>
        <w:rPr>
          <w:lang w:val="zh-CN"/>
        </w:rPr>
        <w:t>空调冷热源</w:t>
      </w:r>
      <w:sdt>
        <w:sdtPr>
          <w:id w:val="1157869240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输配系统</w:t>
      </w:r>
      <w:sdt>
        <w:sdtPr>
          <w:id w:val="521815031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照明插座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动力</w:t>
      </w:r>
      <w:sdt>
        <w:sdtPr>
          <w:id w:val="814805215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特殊用电</w:t>
      </w:r>
      <w:sdt>
        <w:sdtPr>
          <w:id w:val="521069639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lang w:val="zh-CN"/>
        </w:rPr>
        <w:t>其他</w:t>
      </w:r>
    </w:p>
    <w:p>
      <w:pPr>
        <w:pStyle w:val="Normal"/>
        <w:rPr/>
      </w:pPr>
      <w:r>
        <w:rPr>
          <w:lang w:val="zh-CN"/>
        </w:rPr>
        <w:t>能源管理系统是否具备建筑能耗进行监测、数据分析及管理功能：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lang w:val="zh-CN"/>
            </w:rPr>
            <w:t>√</w:t>
          </w:r>
        </w:sdtContent>
      </w:sdt>
      <w:r>
        <w:rPr>
          <w:lang w:val="zh-CN"/>
        </w:rPr>
        <w:t>是</w:t>
      </w:r>
      <w:sdt>
        <w:sdtPr>
          <w:id w:val="2110728796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否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请简要说明自动远传计量系统以及能源管理系统的设置、使用情况。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能耗数据上传到内蒙古自治区能耗监测系统。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ascii="Times New Roman" w:hAnsi="Times New Roman" w:cs="Times New Roman"/>
        </w:rPr>
        <w:t>）电气专业竣工图纸及设计说明，应包括用能系统、自动远传计量系统、能源管理系统、系统配置的设计内容；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  <w:r>
        <w:rPr>
          <w:rFonts w:ascii="Times New Roman" w:hAnsi="Times New Roman" w:cs="Times New Roman"/>
        </w:rPr>
        <w:t>）能源系统原理图，应体现数据的传输、存储、分析功能；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</w:t>
      </w:r>
      <w:r>
        <w:rPr>
          <w:rFonts w:ascii="Times New Roman" w:hAnsi="Times New Roman" w:cs="Times New Roman"/>
        </w:rPr>
        <w:t>）相关产品型式检验报告；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</w:t>
      </w:r>
      <w:r>
        <w:rPr>
          <w:rFonts w:ascii="Times New Roman" w:hAnsi="Times New Roman" w:cs="Times New Roman"/>
        </w:rPr>
        <w:t>）能源管理系统使用和维护的管理制度、历史检测数据、运行记录。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4df4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c4df4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ac4df4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ac4df4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ac4df4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ac4df4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ac4df4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ac4df4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ac4df4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ac4df4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ac4df4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ac4df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ac4d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  <w:style w:type="paragraph" w:customStyle="1" w:styleId="70925CFB982F43CA9726E071F1C143B1">
    <w:name w:val="70925CFB982F43CA9726E071F1C143B1"/>
    <w:rsid w:val="00444649"/>
    <w:pPr>
      <w:widowControl w:val="0"/>
      <w:jc w:val="both"/>
    </w:pPr>
  </w:style>
  <w:style w:type="paragraph" w:customStyle="1" w:styleId="B5F19D6990724D6F9668C002E36BE0A9">
    <w:name w:val="B5F19D6990724D6F9668C002E36BE0A9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Trio_Office/6.2.8.2$Windows_x86 LibreOffice_project/</Application>
  <Pages>2</Pages>
  <Words>478</Words>
  <Characters>482</Characters>
  <CharactersWithSpaces>495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dc:description/>
  <dc:language>zh-CN</dc:language>
  <cp:lastModifiedBy/>
  <dcterms:modified xsi:type="dcterms:W3CDTF">2022-03-13T01:31:48Z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