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sz w:val="24"/>
          <w:szCs w:val="40"/>
        </w:rPr>
      </w:pPr>
      <w:r>
        <w:rPr>
          <w:sz w:val="24"/>
          <w:szCs w:val="40"/>
        </w:rPr>
        <w:t xml:space="preserve">7.1.7 </w:t>
      </w:r>
      <w:r>
        <w:rPr>
          <w:sz w:val="24"/>
          <w:szCs w:val="40"/>
        </w:rPr>
        <w:t>应制定水资源利用方案，统筹利用各种水资源。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达标自评</w:t>
      </w:r>
    </w:p>
    <w:p>
      <w:pPr>
        <w:pStyle w:val="Normal"/>
        <w:rPr>
          <w:rFonts w:ascii="Times New Roman" w:hAnsi="Times New Roman" w:cs="Times New Roman"/>
          <w:szCs w:val="21"/>
        </w:rPr>
      </w:pP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/>
        <w:t>请简要说明水系统利用方案的内容。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水源：本项目以市政给水管网为水源，从西面市政路引入一路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 xml:space="preserve">DN100 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的给水管，并向室内各用水点供水，甲方提供基本水压为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0.25MPa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。从西面市政路和南面市政给水管引入两路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 xml:space="preserve">DN100 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的给水管与小区内形成环网，按照消防规范在环网管道适当位置设置室外消火栓，确保本小区的消防用水。</w:t>
            </w:r>
          </w:p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给水系统：生活给水系统分为市政直供及加压供水系统。本工程生活给水系统：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 xml:space="preserve">-1F 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至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 xml:space="preserve">1F 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直接由市政供水，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 xml:space="preserve">2F 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至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 xml:space="preserve">7F 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设于负一层泵房内的变频泵组加压供水，采用支管减压措施，阀后压力为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0.20MPa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。</w:t>
            </w:r>
          </w:p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排水系统：本项目室内生活污、废水合流排放，生活污水与废水分流排放，室外采用雨污</w:t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 xml:space="preserve">, 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由潜污泵提升至室外污水井；雨水经室外雨水检查井最终排至周边市政道路雨水管网面，雨水按重力、满流雨水排水系统设计，屋面雨水由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 xml:space="preserve">87 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型雨水斗、侧墙式雨水斗收集，经雨水立管排至室外雨水管道。</w:t>
            </w:r>
          </w:p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管材：合理选择供水的材质及管径，选用良好的卫生器具，控制其漏水量，选用性能好的</w:t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阀门，并在阀前增设软密封闭阀，合理设置检修阀门的位置。各用水部门采用计量收费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不</w:t>
            </w:r>
          </w:p>
          <w:p>
            <w:pPr>
              <w:pStyle w:val="Normal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同用途的用水单设水表，水表安装率达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100%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。</w:t>
            </w:r>
          </w:p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节水器具：用较高用水效率等级的卫生器具，用水效率等级达到一级。坐便器采用设有大、小便分档的冲洗水箱（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3L/4.5L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）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;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蹲便器采用延时自闭式冲洗阀；小便器采用应在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2S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内自动止水的感应式冲洗阀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非正常供电电压下应自动断水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一次冲水量不大于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2.0L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；公共场所洗手盆采用充气式感应龙头、其它洗手盆采用节能水龙头最大流量不大于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0.1L/S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）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 xml:space="preserve">; 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校区内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80%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面积以上地下车库以及道路冲洗采用高压水枪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.</w:t>
            </w:r>
          </w:p>
        </w:tc>
      </w:tr>
    </w:tbl>
    <w:p>
      <w:pPr>
        <w:pStyle w:val="Normal"/>
        <w:spacing w:lineRule="auto" w:line="360"/>
        <w:rPr>
          <w:rFonts w:cs="宋体"/>
        </w:rPr>
      </w:pPr>
      <w:r>
        <w:rPr>
          <w:rFonts w:cs="宋体"/>
          <w:lang w:val="zh-CN"/>
        </w:rPr>
        <w:t>用水计</w:t>
      </w:r>
      <w:r>
        <w:rPr>
          <w:rFonts w:cs="宋体"/>
        </w:rPr>
        <w:t>量表按</w:t>
      </w:r>
      <w:r>
        <w:rPr>
          <w:rFonts w:cs="仿宋_GB2312" w:eastAsia="仿宋_GB2312"/>
          <w:szCs w:val="21"/>
        </w:rPr>
        <w:t>□</w:t>
      </w:r>
      <w:r>
        <w:rPr>
          <w:rFonts w:cs="宋体"/>
        </w:rPr>
        <w:t xml:space="preserve">用途 </w:t>
      </w:r>
      <w:r>
        <w:rPr>
          <w:rFonts w:cs="仿宋_GB2312" w:eastAsia="仿宋_GB2312"/>
          <w:szCs w:val="21"/>
        </w:rPr>
        <w:t>□</w:t>
      </w:r>
      <w:r>
        <w:rPr>
          <w:rFonts w:cs="宋体"/>
        </w:rPr>
        <w:t>付费 □管理单元 设置：</w:t>
      </w:r>
    </w:p>
    <w:p>
      <w:pPr>
        <w:pStyle w:val="Normal"/>
        <w:spacing w:lineRule="auto" w:line="288"/>
        <w:jc w:val="center"/>
        <w:rPr>
          <w:szCs w:val="21"/>
        </w:rPr>
      </w:pPr>
      <w:r>
        <w:rPr>
          <w:rFonts w:cs="宋体"/>
          <w:szCs w:val="21"/>
        </w:rPr>
        <w:t>用水计量水表主要信息</w:t>
      </w:r>
    </w:p>
    <w:tbl>
      <w:tblPr>
        <w:tblW w:w="820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25"/>
        <w:gridCol w:w="3936"/>
        <w:gridCol w:w="2444"/>
      </w:tblGrid>
      <w:tr>
        <w:trPr/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宋体" w:hAnsi="宋体" w:asciiTheme="minorEastAsia" w:hAnsiTheme="minorEastAsia"/>
                <w:szCs w:val="21"/>
              </w:rPr>
            </w:pPr>
            <w:r>
              <w:rPr>
                <w:rFonts w:ascii="宋体" w:hAnsi="宋体" w:cs="宋体" w:asciiTheme="minorEastAsia" w:hAnsiTheme="minor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宋体" w:hAnsi="宋体" w:asciiTheme="minorEastAsia" w:hAnsiTheme="minorEastAsia"/>
                <w:szCs w:val="21"/>
              </w:rPr>
            </w:pPr>
            <w:r>
              <w:rPr>
                <w:rFonts w:ascii="宋体" w:hAnsi="宋体" w:cs="宋体" w:asciiTheme="minorEastAsia" w:hAnsiTheme="minorEastAsia"/>
                <w:szCs w:val="21"/>
              </w:rPr>
              <w:t>用途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88"/>
              <w:jc w:val="center"/>
              <w:rPr>
                <w:rFonts w:ascii="宋体" w:hAnsi="宋体" w:asciiTheme="minorEastAsia" w:hAnsiTheme="minorEastAsia"/>
                <w:szCs w:val="21"/>
              </w:rPr>
            </w:pPr>
            <w:r>
              <w:rPr>
                <w:rFonts w:ascii="宋体" w:hAnsi="宋体" w:cs="宋体" w:asciiTheme="minorEastAsia" w:hAnsiTheme="minorEastAsia"/>
                <w:szCs w:val="21"/>
              </w:rPr>
              <w:t>安装位置</w:t>
            </w:r>
          </w:p>
        </w:tc>
      </w:tr>
      <w:tr>
        <w:trPr/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宋体" w:hAnsi="宋体" w:asciiTheme="minorEastAsia" w:hAnsiTheme="minorEastAsia"/>
                <w:szCs w:val="21"/>
              </w:rPr>
            </w:pPr>
            <w:r>
              <w:rPr>
                <w:rStyle w:val="1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宋体" w:hAnsi="宋体" w:asciiTheme="minorEastAsia" w:hAnsiTheme="minorEastAsia"/>
                <w:szCs w:val="21"/>
              </w:rPr>
            </w:pPr>
            <w:r>
              <w:rPr>
                <w:rFonts w:asciiTheme="minorEastAsia" w:hAnsiTheme="minorEastAsia" w:ascii="宋体" w:hAnsi="宋体"/>
                <w:szCs w:val="21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宋体" w:hAnsi="宋体"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ascii="宋体" w:hAnsi="宋体"/>
                <w:szCs w:val="21"/>
                <w:lang w:val="zh-CN"/>
              </w:rPr>
            </w:r>
          </w:p>
        </w:tc>
      </w:tr>
      <w:tr>
        <w:trPr/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宋体" w:hAnsi="宋体" w:asciiTheme="minorEastAsia" w:hAnsiTheme="minorEastAsia"/>
                <w:szCs w:val="21"/>
              </w:rPr>
            </w:pPr>
            <w:r>
              <w:rPr>
                <w:rStyle w:val="1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宋体" w:hAnsi="宋体" w:asciiTheme="minorEastAsia" w:hAnsiTheme="minorEastAsia"/>
                <w:szCs w:val="21"/>
              </w:rPr>
            </w:pPr>
            <w:r>
              <w:rPr>
                <w:rFonts w:asciiTheme="minorEastAsia" w:hAnsiTheme="minorEastAsia" w:ascii="宋体" w:hAnsi="宋体"/>
                <w:szCs w:val="21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宋体" w:hAnsi="宋体"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ascii="宋体" w:hAnsi="宋体"/>
                <w:szCs w:val="21"/>
                <w:lang w:val="zh-CN"/>
              </w:rPr>
            </w:r>
          </w:p>
        </w:tc>
      </w:tr>
      <w:tr>
        <w:trPr/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宋体" w:hAnsi="宋体" w:asciiTheme="minorEastAsia" w:hAnsiTheme="minorEastAsia"/>
                <w:szCs w:val="21"/>
              </w:rPr>
            </w:pPr>
            <w:r>
              <w:rPr>
                <w:rStyle w:val="1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宋体" w:hAnsi="宋体" w:asciiTheme="minorEastAsia" w:hAnsiTheme="minorEastAsia"/>
                <w:szCs w:val="21"/>
              </w:rPr>
            </w:pPr>
            <w:r>
              <w:rPr>
                <w:rFonts w:asciiTheme="minorEastAsia" w:hAnsiTheme="minorEastAsia" w:ascii="宋体" w:hAnsi="宋体"/>
                <w:szCs w:val="21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宋体" w:hAnsi="宋体"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ascii="宋体" w:hAnsi="宋体"/>
                <w:szCs w:val="21"/>
                <w:lang w:val="zh-CN"/>
              </w:rPr>
            </w:r>
          </w:p>
        </w:tc>
      </w:tr>
      <w:tr>
        <w:trPr/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宋体" w:hAnsi="宋体" w:asciiTheme="minorEastAsia" w:hAnsiTheme="minorEastAsia"/>
                <w:szCs w:val="21"/>
              </w:rPr>
            </w:pPr>
            <w:r>
              <w:rPr>
                <w:rStyle w:val="1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宋体" w:hAnsi="宋体" w:asciiTheme="minorEastAsia" w:hAnsiTheme="minorEastAsia"/>
                <w:szCs w:val="21"/>
              </w:rPr>
            </w:pPr>
            <w:r>
              <w:rPr>
                <w:rFonts w:asciiTheme="minorEastAsia" w:hAnsiTheme="minorEastAsia" w:ascii="宋体" w:hAnsi="宋体"/>
                <w:szCs w:val="21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宋体" w:hAnsi="宋体"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ascii="宋体" w:hAnsi="宋体"/>
                <w:szCs w:val="21"/>
                <w:lang w:val="zh-CN"/>
              </w:rPr>
            </w:r>
          </w:p>
        </w:tc>
      </w:tr>
      <w:tr>
        <w:trPr/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宋体" w:hAnsi="宋体" w:asciiTheme="minorEastAsia" w:hAnsiTheme="minorEastAsia"/>
                <w:szCs w:val="21"/>
              </w:rPr>
            </w:pPr>
            <w:r>
              <w:rPr>
                <w:rStyle w:val="1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宋体" w:hAnsi="宋体" w:asciiTheme="minorEastAsia" w:hAnsiTheme="minorEastAsia"/>
                <w:szCs w:val="21"/>
              </w:rPr>
            </w:pPr>
            <w:r>
              <w:rPr>
                <w:rFonts w:asciiTheme="minorEastAsia" w:hAnsiTheme="minorEastAsia" w:ascii="宋体" w:hAnsi="宋体"/>
                <w:szCs w:val="21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宋体" w:hAnsi="宋体"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ascii="宋体" w:hAnsi="宋体"/>
                <w:szCs w:val="21"/>
                <w:lang w:val="zh-CN"/>
              </w:rPr>
            </w:r>
          </w:p>
        </w:tc>
      </w:tr>
      <w:tr>
        <w:trPr/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宋体" w:hAnsi="宋体" w:asciiTheme="minorEastAsia" w:hAnsiTheme="minorEastAsia"/>
                <w:szCs w:val="21"/>
              </w:rPr>
            </w:pPr>
            <w:r>
              <w:rPr>
                <w:rStyle w:val="1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宋体" w:hAnsi="宋体" w:asciiTheme="minorEastAsia" w:hAnsiTheme="minorEastAsia"/>
                <w:szCs w:val="21"/>
              </w:rPr>
            </w:pPr>
            <w:r>
              <w:rPr>
                <w:rFonts w:asciiTheme="minorEastAsia" w:hAnsiTheme="minorEastAsia" w:ascii="宋体" w:hAnsi="宋体"/>
                <w:szCs w:val="21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宋体" w:hAnsi="宋体"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ascii="宋体" w:hAnsi="宋体"/>
                <w:szCs w:val="21"/>
                <w:lang w:val="zh-CN"/>
              </w:rPr>
            </w:r>
          </w:p>
        </w:tc>
      </w:tr>
      <w:tr>
        <w:trPr/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宋体" w:hAnsi="宋体" w:asciiTheme="minorEastAsia" w:hAnsiTheme="minorEastAsia"/>
                <w:szCs w:val="21"/>
              </w:rPr>
            </w:pPr>
            <w:r>
              <w:rPr>
                <w:rStyle w:val="1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宋体" w:hAnsi="宋体" w:asciiTheme="minorEastAsia" w:hAnsiTheme="minorEastAsia"/>
                <w:szCs w:val="21"/>
              </w:rPr>
            </w:pPr>
            <w:r>
              <w:rPr>
                <w:rFonts w:asciiTheme="minorEastAsia" w:hAnsiTheme="minorEastAsia" w:ascii="宋体" w:hAnsi="宋体"/>
                <w:szCs w:val="21"/>
              </w:rPr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88"/>
              <w:jc w:val="center"/>
              <w:rPr>
                <w:rFonts w:ascii="宋体" w:hAnsi="宋体" w:asciiTheme="minorEastAsia" w:hAnsiTheme="minorEastAsia"/>
                <w:szCs w:val="21"/>
                <w:lang w:val="zh-CN"/>
              </w:rPr>
            </w:pPr>
            <w:r>
              <w:rPr>
                <w:rFonts w:asciiTheme="minorEastAsia" w:hAnsiTheme="minorEastAsia" w:ascii="宋体" w:hAnsi="宋体"/>
                <w:szCs w:val="21"/>
                <w:lang w:val="zh-CN"/>
              </w:rPr>
            </w:r>
          </w:p>
        </w:tc>
      </w:tr>
    </w:tbl>
    <w:p>
      <w:pPr>
        <w:pStyle w:val="Normal"/>
        <w:spacing w:lineRule="auto" w:line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用水点供水压力最大为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text/>
        </w:sdtPr>
        <w:sdtContent>
          <w:r>
            <w:rPr>
              <w:rFonts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>
        <w:rPr>
          <w:rFonts w:cs="Times New Roman" w:ascii="Times New Roman" w:hAnsi="Times New Roman"/>
          <w:kern w:val="0"/>
        </w:rPr>
        <w:t>MPa</w:t>
      </w:r>
      <w:r>
        <w:rPr>
          <w:rFonts w:ascii="Times New Roman" w:hAnsi="Times New Roman" w:cs="Times New Roman"/>
        </w:rPr>
        <w:t>。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请简要说明市政供水压力、水系统压力分区、用水器具的水压要求。</w:t>
      </w:r>
    </w:p>
    <w:tbl>
      <w:tblPr>
        <w:tblStyle w:val="1"/>
        <w:tblW w:w="827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72"/>
      </w:tblGrid>
      <w:tr>
        <w:trPr>
          <w:trHeight w:val="2634" w:hRule="atLeast"/>
        </w:trPr>
        <w:tc>
          <w:tcPr>
            <w:tcW w:w="8272" w:type="dxa"/>
            <w:tcBorders/>
            <w:shd w:fill="auto" w:val="clear"/>
          </w:tcPr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本项目给水系统竖向分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个区：其中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-1F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至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1F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层由市政水直接供给，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2F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至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12F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层为加压高区，每区供水范围内每层用水点处供水压力均控制在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0.10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～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0.20MPa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之间。</w:t>
            </w:r>
          </w:p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入户管水压大于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0.35MPa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者设减压阀减压至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0.2MPa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以内；入户管水压小于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0.35MPa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但大于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0.2MPa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者采用截止阀调至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0.2MPa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以内，且满足给水配件最低工作压力的要求。</w:t>
            </w:r>
          </w:p>
          <w:p>
            <w:pPr>
              <w:pStyle w:val="Normal"/>
              <w:ind w:firstLine="400"/>
              <w:rPr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给水水源为市政给水管网及中水给水管网，供水压力均为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0.17MPa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。自来水给水系统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1~2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层由市政直供，入户管工作压力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0.17MPa;3~6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层无负压自来水供水设备供水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入户管工作压力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 xml:space="preserve">0.30MPa. 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中水给水系统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层由市政中水管网直供，入户管工作压力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0.17MPa; 2~6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层由无负压中水供水设备供水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,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入户管工作压力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0.35MPa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。无负压供水设备采用全变频恒压供水设备。各层支管供水压力均不大于</w:t>
            </w: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  <w:t>0.20MPa</w:t>
            </w: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，满足各用水器具的水压要求。</w:t>
            </w:r>
            <w:bookmarkStart w:id="0" w:name="_GoBack"/>
            <w:bookmarkEnd w:id="0"/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1</w:t>
      </w:r>
      <w:r>
        <w:rPr>
          <w:rFonts w:ascii="Times New Roman" w:hAnsi="Times New Roman" w:cs="Times New Roman"/>
        </w:rPr>
        <w:t>）水资源利用方案；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2</w:t>
      </w:r>
      <w:r>
        <w:rPr>
          <w:rFonts w:ascii="Times New Roman" w:hAnsi="Times New Roman" w:cs="Times New Roman"/>
        </w:rPr>
        <w:t>）给排水竣工图及设计说明，应包含水表分类计量的设计内容；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ascii="Times New Roman" w:hAnsi="Times New Roman" w:eastAsiaTheme="majorEastAsia"/>
        </w:rPr>
        <w:t>3</w:t>
      </w:r>
      <w:r>
        <w:rPr>
          <w:rFonts w:ascii="Times New Roman" w:hAnsi="Times New Roman" w:cs="Times New Roman"/>
        </w:rPr>
        <w:t>）节水器具、设备和系统的产品说明书、用水器具产品节水性能检测报告。</w:t>
      </w:r>
    </w:p>
    <w:p>
      <w:pPr>
        <w:pStyle w:val="Normal"/>
        <w:rPr>
          <w:rFonts w:ascii="Times New Roman" w:hAnsi="Times New Roman" w:eastAsia="宋体" w:cs="Times New Roman" w:eastAsiaTheme="majorEastAsia"/>
        </w:rPr>
      </w:pPr>
      <w:r>
        <w:rPr>
          <w:rFonts w:eastAsia="宋体" w:cs="Times New Roman" w:eastAsiaTheme="majorEastAsia" w:ascii="Times New Roman" w:hAnsi="Times New Roman"/>
        </w:rPr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/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水资源利用方案</w:t>
            </w:r>
          </w:p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给排水设计说明</w:t>
            </w:r>
          </w:p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节水器具、设备的产品说明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Wingdings 2">
    <w:charset w:val="02"/>
    <w:family w:val="roman"/>
    <w:pitch w:val="variable"/>
  </w:font>
  <w:font w:name="宋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46849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c46849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c46849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c46849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c46849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c46849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c46849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c46849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c46849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c46849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c46849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c4684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c468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8E784946494D3188110B642724DD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DF8A13-E715-4A73-B3F7-47CAC50BADAD}"/>
      </w:docPartPr>
      <w:docPartBody>
        <w:p w:rsidR="007E098C" w:rsidRDefault="00B218F2" w:rsidP="00B218F2">
          <w:pPr>
            <w:pStyle w:val="C08E784946494D3188110B642724DD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F2"/>
    <w:rsid w:val="004040D4"/>
    <w:rsid w:val="004125B0"/>
    <w:rsid w:val="004407B0"/>
    <w:rsid w:val="005205BD"/>
    <w:rsid w:val="006E4BFA"/>
    <w:rsid w:val="006E718C"/>
    <w:rsid w:val="007A3EE7"/>
    <w:rsid w:val="007E098C"/>
    <w:rsid w:val="00B218F2"/>
    <w:rsid w:val="00BA60FB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18F2"/>
    <w:rPr>
      <w:color w:val="808080"/>
    </w:rPr>
  </w:style>
  <w:style w:type="paragraph" w:customStyle="1" w:styleId="274A7A2E1DA24432BD34B46AE23831AC">
    <w:name w:val="274A7A2E1DA24432BD34B46AE23831AC"/>
    <w:rsid w:val="00B218F2"/>
    <w:pPr>
      <w:widowControl w:val="0"/>
      <w:jc w:val="both"/>
    </w:pPr>
  </w:style>
  <w:style w:type="paragraph" w:customStyle="1" w:styleId="8AA27CD01BAB4AF5B5156F80D8418AAC">
    <w:name w:val="8AA27CD01BAB4AF5B5156F80D8418AAC"/>
    <w:rsid w:val="00B218F2"/>
    <w:pPr>
      <w:widowControl w:val="0"/>
      <w:jc w:val="both"/>
    </w:pPr>
  </w:style>
  <w:style w:type="paragraph" w:customStyle="1" w:styleId="506449B900714633B7DED929C9A4F4D6">
    <w:name w:val="506449B900714633B7DED929C9A4F4D6"/>
    <w:rsid w:val="00B218F2"/>
    <w:pPr>
      <w:widowControl w:val="0"/>
      <w:jc w:val="both"/>
    </w:pPr>
  </w:style>
  <w:style w:type="paragraph" w:customStyle="1" w:styleId="F43684BDC07343D288D5AFD0F935E6A7">
    <w:name w:val="F43684BDC07343D288D5AFD0F935E6A7"/>
    <w:rsid w:val="00B218F2"/>
    <w:pPr>
      <w:widowControl w:val="0"/>
      <w:jc w:val="both"/>
    </w:pPr>
  </w:style>
  <w:style w:type="paragraph" w:customStyle="1" w:styleId="5878D6320836401BAFD59B893DBC75CF">
    <w:name w:val="5878D6320836401BAFD59B893DBC75CF"/>
    <w:rsid w:val="00B218F2"/>
    <w:pPr>
      <w:widowControl w:val="0"/>
      <w:jc w:val="both"/>
    </w:pPr>
  </w:style>
  <w:style w:type="paragraph" w:customStyle="1" w:styleId="705F6D73435F439AA2B85F73FB7E6F2C">
    <w:name w:val="705F6D73435F439AA2B85F73FB7E6F2C"/>
    <w:rsid w:val="00B218F2"/>
    <w:pPr>
      <w:widowControl w:val="0"/>
      <w:jc w:val="both"/>
    </w:pPr>
  </w:style>
  <w:style w:type="paragraph" w:customStyle="1" w:styleId="5DED27ECDF6E44AC8AC639211874E78D">
    <w:name w:val="5DED27ECDF6E44AC8AC639211874E78D"/>
    <w:rsid w:val="00B218F2"/>
    <w:pPr>
      <w:widowControl w:val="0"/>
      <w:jc w:val="both"/>
    </w:pPr>
  </w:style>
  <w:style w:type="paragraph" w:customStyle="1" w:styleId="7B3547097F254A4D8C50ABCB56E0D519">
    <w:name w:val="7B3547097F254A4D8C50ABCB56E0D519"/>
    <w:rsid w:val="00B218F2"/>
    <w:pPr>
      <w:widowControl w:val="0"/>
      <w:jc w:val="both"/>
    </w:pPr>
  </w:style>
  <w:style w:type="paragraph" w:customStyle="1" w:styleId="1743144E9E414003B50A63AD05333BD5">
    <w:name w:val="1743144E9E414003B50A63AD05333BD5"/>
    <w:rsid w:val="00B218F2"/>
    <w:pPr>
      <w:widowControl w:val="0"/>
      <w:jc w:val="both"/>
    </w:pPr>
  </w:style>
  <w:style w:type="paragraph" w:customStyle="1" w:styleId="8C6590E03AC640D6A959C4454F70563E">
    <w:name w:val="8C6590E03AC640D6A959C4454F70563E"/>
    <w:rsid w:val="00B218F2"/>
    <w:pPr>
      <w:widowControl w:val="0"/>
      <w:jc w:val="both"/>
    </w:pPr>
  </w:style>
  <w:style w:type="paragraph" w:customStyle="1" w:styleId="AE862428E0604F7CA342AA8CD291D83A">
    <w:name w:val="AE862428E0604F7CA342AA8CD291D83A"/>
    <w:rsid w:val="00B218F2"/>
    <w:pPr>
      <w:widowControl w:val="0"/>
      <w:jc w:val="both"/>
    </w:pPr>
  </w:style>
  <w:style w:type="paragraph" w:customStyle="1" w:styleId="26A9A9CAA7F44582A21434DDD64CC089">
    <w:name w:val="26A9A9CAA7F44582A21434DDD64CC089"/>
    <w:rsid w:val="00B218F2"/>
    <w:pPr>
      <w:widowControl w:val="0"/>
      <w:jc w:val="both"/>
    </w:pPr>
  </w:style>
  <w:style w:type="paragraph" w:customStyle="1" w:styleId="4EF91106EACD4D64B95E6EE10CEF664C">
    <w:name w:val="4EF91106EACD4D64B95E6EE10CEF664C"/>
    <w:rsid w:val="00B218F2"/>
    <w:pPr>
      <w:widowControl w:val="0"/>
      <w:jc w:val="both"/>
    </w:pPr>
  </w:style>
  <w:style w:type="paragraph" w:customStyle="1" w:styleId="0021E2D1E0D3466C90A8F82471AD62B0">
    <w:name w:val="0021E2D1E0D3466C90A8F82471AD62B0"/>
    <w:rsid w:val="00B218F2"/>
    <w:pPr>
      <w:widowControl w:val="0"/>
      <w:jc w:val="both"/>
    </w:pPr>
  </w:style>
  <w:style w:type="paragraph" w:customStyle="1" w:styleId="CD252B58889B49CBBD7E941B7C996651">
    <w:name w:val="CD252B58889B49CBBD7E941B7C996651"/>
    <w:rsid w:val="00B218F2"/>
    <w:pPr>
      <w:widowControl w:val="0"/>
      <w:jc w:val="both"/>
    </w:pPr>
  </w:style>
  <w:style w:type="paragraph" w:customStyle="1" w:styleId="C08E784946494D3188110B642724DD03">
    <w:name w:val="C08E784946494D3188110B642724DD03"/>
    <w:rsid w:val="00B218F2"/>
    <w:pPr>
      <w:widowControl w:val="0"/>
      <w:jc w:val="both"/>
    </w:pPr>
  </w:style>
  <w:style w:type="paragraph" w:customStyle="1" w:styleId="347EC94B8DA34897B647A413EE23B756">
    <w:name w:val="347EC94B8DA34897B647A413EE23B756"/>
    <w:rsid w:val="00B218F2"/>
    <w:pPr>
      <w:widowControl w:val="0"/>
      <w:jc w:val="both"/>
    </w:pPr>
  </w:style>
  <w:style w:type="paragraph" w:customStyle="1" w:styleId="667AE71669684C8AAE23250C7AEFC2D6">
    <w:name w:val="667AE71669684C8AAE23250C7AEFC2D6"/>
    <w:rsid w:val="00B218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Trio_Office/6.2.8.2$Windows_x86 LibreOffice_project/</Application>
  <Pages>2</Pages>
  <Words>1248</Words>
  <Characters>1388</Characters>
  <CharactersWithSpaces>1425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dc:description/>
  <dc:language>zh-CN</dc:language>
  <cp:lastModifiedBy/>
  <dcterms:modified xsi:type="dcterms:W3CDTF">2022-03-12T23:34:23Z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