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7.2.5 </w:t>
      </w:r>
      <w:r>
        <w:rPr>
          <w:sz w:val="24"/>
          <w:szCs w:val="40"/>
        </w:rPr>
        <w:t>供暖空调系统的冷、热源机组能效均优于现行国家标准《公共建筑节能设计标准》</w:t>
      </w:r>
      <w:r>
        <w:rPr>
          <w:sz w:val="24"/>
          <w:szCs w:val="40"/>
        </w:rPr>
        <w:t>GB 50189</w:t>
      </w:r>
      <w:r>
        <w:rPr>
          <w:sz w:val="24"/>
          <w:szCs w:val="40"/>
        </w:rPr>
        <w:t>的规定以及现行有关国家标准能效限定值的要求。（</w:t>
      </w:r>
      <w:r>
        <w:rPr>
          <w:sz w:val="24"/>
          <w:szCs w:val="40"/>
        </w:rPr>
        <w:t>10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得分自评（城市市政热源项目，热源机组能效不参评）</w:t>
      </w:r>
    </w:p>
    <w:tbl>
      <w:tblPr>
        <w:tblW w:w="81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5"/>
        <w:gridCol w:w="567"/>
        <w:gridCol w:w="991"/>
        <w:gridCol w:w="1417"/>
        <w:gridCol w:w="1417"/>
        <w:gridCol w:w="1"/>
        <w:gridCol w:w="1"/>
        <w:gridCol w:w="1556"/>
        <w:gridCol w:w="2"/>
        <w:gridCol w:w="1408"/>
      </w:tblGrid>
      <w:tr>
        <w:trPr/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COP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051449976"/>
            </w:sdtPr>
            <w:sdtContent>
              <w:p>
                <w:pPr>
                  <w:pStyle w:val="Normal"/>
                  <w:spacing w:lineRule="auto" w:line="288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10</w:t>
                </w:r>
              </w:p>
            </w:sdtContent>
          </w:sdt>
        </w:tc>
      </w:tr>
      <w:tr>
        <w:trPr>
          <w:trHeight w:val="375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12%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/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COP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202745308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12%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EER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60905096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75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12%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188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IPLV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8%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28212599"/>
            </w:sdtPr>
            <w:sdtContent>
              <w:p>
                <w:pPr>
                  <w:pStyle w:val="Normal"/>
                  <w:spacing w:lineRule="auto" w:line="288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10</w:t>
                </w:r>
              </w:p>
            </w:sdtContent>
          </w:sdt>
        </w:tc>
      </w:tr>
      <w:tr>
        <w:trPr>
          <w:trHeight w:val="187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16%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188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3%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97301989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87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188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2%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432430474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87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4%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EER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91009816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75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188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10138155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87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COP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81218851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75" w:hRule="atLeast"/>
        </w:trPr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eastAsia="宋体" w:cs="宋体"/>
                <w:szCs w:val="21"/>
              </w:rPr>
            </w:pPr>
            <w:r>
              <w:rPr/>
              <w:t>合计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421870535"/>
            </w:sdtPr>
            <w:sdtContent>
              <w:p>
                <w:pPr>
                  <w:pStyle w:val="Normal"/>
                  <w:spacing w:lineRule="auto" w:line="288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10</w:t>
                </w:r>
              </w:p>
            </w:sdtContent>
          </w:sdt>
        </w:tc>
      </w:tr>
    </w:tbl>
    <w:p>
      <w:pPr>
        <w:pStyle w:val="Normal"/>
        <w:widowControl/>
        <w:jc w:val="left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</w:rPr>
        <w:t>请简要说明供暖空调系统的冷、热源机组类型、能效等级。</w:t>
      </w:r>
    </w:p>
    <w:tbl>
      <w:tblPr>
        <w:tblStyle w:val="1"/>
        <w:tblW w:w="82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2"/>
      </w:tblGrid>
      <w:tr>
        <w:trPr>
          <w:trHeight w:val="2634" w:hRule="atLeast"/>
        </w:trPr>
        <w:tc>
          <w:tcPr>
            <w:tcW w:w="8272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宿舍：空调系统采用多联机空调系统，室外机组制冷量为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377KW,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107.3KW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；制热量为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420KW,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106.02KW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。食堂：空调系统采用多联机空调系统，室外机组制冷量为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370.5KW,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104.85KW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；制热量为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412.5KW,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103.98KW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。教学综合楼：空调系统采用多联机空调系统，室外机组制冷量为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1239KW,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373.9KW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；制热量为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1386KW,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357.06KW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。报告厅：合班教室和休息室采用单体空调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+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新风换气机组；报告厅采用商用直膨式空调机组。制冷量为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279KW,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97.52KW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；制热量为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308.7KW,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功率为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95.12KW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</w:t>
            </w:r>
            <w:bookmarkStart w:id="0" w:name="_GoBack"/>
            <w:bookmarkEnd w:id="0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）暖通专业竣工图及设计说明，应包含设备表等设计文件；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）冷热源机组采购清单、产品说明书、产品型式性能检测报告。</w:t>
      </w:r>
    </w:p>
    <w:p>
      <w:pPr>
        <w:pStyle w:val="Normal"/>
        <w:snapToGrid w:val="false"/>
        <w:spacing w:lineRule="auto" w:line="288"/>
        <w:ind w:left="-54" w:hanging="55"/>
        <w:rPr>
          <w:rFonts w:ascii="宋体" w:hAnsi="宋体" w:cs="宋体"/>
          <w:bCs/>
          <w:kern w:val="0"/>
          <w:szCs w:val="21"/>
        </w:rPr>
      </w:pPr>
      <w:r>
        <w:rPr>
          <w:rFonts w:cs="宋体" w:ascii="宋体" w:hAnsi="宋体"/>
          <w:bCs/>
          <w:kern w:val="0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暖通设计说明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冷热源机组产品说明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334c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d3334c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d3334c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d3334c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d3334c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d3334c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d3334c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d3334c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d3334c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d3334c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d3334c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d3334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d333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Trio_Office/6.2.8.2$Windows_x86 LibreOffice_project/</Application>
  <Pages>2</Pages>
  <Words>740</Words>
  <Characters>892</Characters>
  <CharactersWithSpaces>917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dc:description/>
  <dc:language>zh-CN</dc:language>
  <cp:lastModifiedBy/>
  <dcterms:modified xsi:type="dcterms:W3CDTF">2022-03-12T21:19:17Z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