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7.2.6 </w:t>
      </w:r>
      <w:r>
        <w:rPr>
          <w:sz w:val="24"/>
          <w:szCs w:val="40"/>
        </w:rPr>
        <w:t>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2"/>
        <w:gridCol w:w="4394"/>
        <w:gridCol w:w="1"/>
        <w:gridCol w:w="1558"/>
        <w:gridCol w:w="1300"/>
      </w:tblGrid>
      <w:tr>
        <w:trPr>
          <w:trHeight w:val="36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>
                <w:szCs w:val="21"/>
              </w:rPr>
              <w:t>自评得分</w:t>
            </w:r>
          </w:p>
        </w:tc>
      </w:tr>
      <w:tr>
        <w:trPr>
          <w:trHeight w:val="644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/>
            </w:pPr>
            <w:r>
              <w:rPr/>
              <w:t>通风空调系统风机的单位风量耗功率比现行国家标准《公共建筑节能设计标准》</w:t>
            </w:r>
            <w:r>
              <w:rPr/>
              <w:t>GB50189</w:t>
            </w:r>
            <w:r>
              <w:rPr/>
              <w:t>的规定低</w:t>
            </w:r>
            <w:r>
              <w:rPr/>
              <w:t>20%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793431903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>2</w:t>
                </w: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15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/>
            </w:pPr>
            <w:r>
              <w:rPr/>
              <w:t>采用分体空调和多联机空调（热泵）机组</w:t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33509481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/>
            </w:pPr>
            <w:r>
              <w:rPr/>
              <w:t>集中供暖系统热水循环泵的耗电输热比、空调冷热水系统循环水泵的耗电输冷（热）比比现行国家标准《民用建筑供暖通风与空气调节设计规范》</w:t>
            </w:r>
            <w:r>
              <w:rPr/>
              <w:t>GB50736</w:t>
            </w:r>
            <w:r>
              <w:rPr/>
              <w:t>规定值低</w:t>
            </w:r>
            <w:r>
              <w:rPr/>
              <w:t>20%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867805405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  <w:r>
                  <w:rPr>
                    <w:szCs w:val="21"/>
                  </w:rPr>
                  <w:t>3</w:t>
                </w:r>
              </w:p>
            </w:sdtContent>
          </w:sdt>
        </w:tc>
      </w:tr>
      <w:tr>
        <w:trPr>
          <w:trHeight w:val="115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/>
            </w:pPr>
            <w:r>
              <w:rPr/>
              <w:t>非集中采暖空调系统项目</w:t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007517208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63" w:hRule="atLeast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合计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766784257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  <w:r>
                  <w:rPr>
                    <w:szCs w:val="21"/>
                  </w:rPr>
                  <w:t>5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pacing w:lineRule="auto" w:line="288"/>
        <w:rPr/>
      </w:pPr>
      <w:r>
        <w:rPr/>
        <w:t>通风空调系统风机的单位风量耗功率：</w:t>
      </w:r>
    </w:p>
    <w:tbl>
      <w:tblPr>
        <w:tblW w:w="80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8"/>
        <w:gridCol w:w="2835"/>
        <w:gridCol w:w="2872"/>
      </w:tblGrid>
      <w:tr>
        <w:trPr>
          <w:cantSplit w:val="true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设备编号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单位风量耗功率</w:t>
            </w:r>
          </w:p>
        </w:tc>
      </w:tr>
      <w:tr>
        <w:trPr>
          <w:cantSplit w:val="true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8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88"/>
        <w:rPr/>
      </w:pPr>
      <w:r>
        <w:rPr/>
        <w:t>集中供暖系统热水循环泵的耗电输热比：</w:t>
      </w:r>
      <w:sdt>
        <w:sdtPr>
          <w:text/>
        </w:sdtPr>
        <w:sdtContent>
          <w:r>
            <w:rPr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rPr/>
        <w:t xml:space="preserve">  ，标准规定值：</w:t>
      </w:r>
      <w:sdt>
        <w:sdtPr>
          <w:text/>
        </w:sdtPr>
        <w:sdtContent>
          <w:r>
            <w:rPr>
              <w:u w:val="single"/>
            </w:rPr>
            <w:t xml:space="preserve">     </w:t>
          </w:r>
        </w:sdtContent>
      </w:sdt>
      <w:r>
        <w:rPr/>
        <w:t>。</w:t>
      </w:r>
    </w:p>
    <w:p>
      <w:pPr>
        <w:pStyle w:val="Normal"/>
        <w:spacing w:lineRule="auto" w:line="288"/>
        <w:rPr/>
      </w:pPr>
      <w:r>
        <w:rPr/>
        <w:t>空调冷热水系统循环水泵的耗电输冷（热）比：</w:t>
      </w:r>
      <w:sdt>
        <w:sdtPr>
          <w:text/>
        </w:sdtPr>
        <w:sdtContent>
          <w:r>
            <w:rPr>
              <w:u w:val="single"/>
            </w:rPr>
            <w:t xml:space="preserve">     </w:t>
          </w:r>
        </w:sdtContent>
      </w:sdt>
      <w:r>
        <w:rPr/>
        <w:t xml:space="preserve"> </w:t>
      </w:r>
      <w:r>
        <w:rPr/>
        <w:t>，标准规定值：</w:t>
      </w:r>
      <w:r>
        <w:rPr/>
        <w:t>_</w:t>
      </w:r>
      <w:r>
        <w:rPr>
          <w:u w:val="single"/>
        </w:rPr>
        <w:t xml:space="preserve"> </w:t>
      </w:r>
      <w:sdt>
        <w:sdtPr>
          <w:text/>
        </w:sdtPr>
        <w:sdtContent>
          <w:r>
            <w:rPr>
              <w:u w:val="single"/>
            </w:rPr>
            <w:t xml:space="preserve">     </w:t>
          </w:r>
        </w:sdtContent>
      </w:sdt>
      <w:r>
        <w:rPr/>
        <w:t>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bookmarkStart w:id="0" w:name="_Toc9945475"/>
      <w:bookmarkStart w:id="1" w:name="_Toc9945334"/>
      <w:bookmarkStart w:id="2" w:name="_Toc9945192"/>
      <w:bookmarkStart w:id="3" w:name="_Toc9945048"/>
      <w:bookmarkStart w:id="4" w:name="_Toc9944768"/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）暖通专业竣工图及设计说明，应包含设备表、风系统图及水系统等设计文件；</w:t>
      </w:r>
      <w:bookmarkEnd w:id="0"/>
      <w:bookmarkEnd w:id="1"/>
      <w:bookmarkEnd w:id="2"/>
      <w:bookmarkEnd w:id="3"/>
      <w:bookmarkEnd w:id="4"/>
    </w:p>
    <w:p>
      <w:pPr>
        <w:pStyle w:val="Normal"/>
        <w:rPr>
          <w:rFonts w:ascii="Times New Roman" w:hAnsi="Times New Roman" w:eastAsia="宋体" w:cs="Times New Roman" w:eastAsiaTheme="majorEastAsia"/>
        </w:rPr>
      </w:pPr>
      <w:bookmarkStart w:id="5" w:name="_Toc9945476"/>
      <w:bookmarkStart w:id="6" w:name="_Toc9945335"/>
      <w:bookmarkStart w:id="7" w:name="_Toc9945193"/>
      <w:bookmarkStart w:id="8" w:name="_Toc9945049"/>
      <w:bookmarkStart w:id="9" w:name="_Toc9944769"/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pStyle w:val="Normal"/>
        <w:rPr>
          <w:rFonts w:ascii="Times New Roman" w:hAnsi="Times New Roman" w:eastAsia="宋体" w:cs="Times New Roman" w:eastAsiaTheme="majorEastAsia"/>
        </w:rPr>
      </w:pPr>
      <w:bookmarkStart w:id="10" w:name="_Toc9945477"/>
      <w:bookmarkStart w:id="11" w:name="_Toc9945336"/>
      <w:bookmarkStart w:id="12" w:name="_Toc9945194"/>
      <w:bookmarkStart w:id="13" w:name="_Toc9945050"/>
      <w:bookmarkStart w:id="14" w:name="_Toc9944770"/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975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5" w:name="_GoBack"/>
            <w:bookmarkEnd w:id="15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风机及水泵产品说明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4c6f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504c6f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504c6f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504c6f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504c6f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504c6f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504c6f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504c6f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504c6f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504c6f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504c6f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1" w:customStyle="1">
    <w:name w:val="列出段落1"/>
    <w:basedOn w:val="Normal"/>
    <w:uiPriority w:val="34"/>
    <w:qFormat/>
    <w:rsid w:val="00504c6f"/>
    <w:pPr>
      <w:spacing w:lineRule="auto" w:line="288"/>
      <w:ind w:firstLine="420"/>
    </w:pPr>
    <w:rPr>
      <w:rFonts w:ascii="Times New Roman" w:hAnsi="Times New Roman" w:eastAsia="宋体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504c6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504c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428</Words>
  <Characters>448</Characters>
  <CharactersWithSpaces>487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dc:description/>
  <dc:language>zh-CN</dc:language>
  <cp:lastModifiedBy/>
  <dcterms:modified xsi:type="dcterms:W3CDTF">2022-03-11T22:18:58Z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