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</w:p>
    <w:p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059"/>
      <w:bookmarkStart w:id="1" w:name="_Toc480186121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居住建筑</w:t>
      </w:r>
      <w:bookmarkEnd w:id="2"/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“如意”千秋苑</w:t>
            </w:r>
            <w:bookmarkStart w:id="84" w:name="_GoBack"/>
            <w:bookmarkEnd w:id="8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山东-泰安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2021年11月10日</w:t>
            </w:r>
            <w:bookmarkEnd w:id="7"/>
          </w:p>
        </w:tc>
      </w:tr>
    </w:tbl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ascii="宋体" w:hAnsi="宋体"/>
          <w:b/>
          <w:bCs/>
          <w:sz w:val="18"/>
          <w:szCs w:val="18"/>
        </w:rPr>
      </w:pPr>
      <w:bookmarkStart w:id="8" w:name="二维码"/>
      <w:bookmarkEnd w:id="8"/>
      <w:r>
        <w:drawing>
          <wp:inline distT="0" distB="0" distL="0" distR="0">
            <wp:extent cx="1514475" cy="151447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斯维尔节能设计BECS2020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20210101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T15705327077</w:t>
            </w:r>
            <w:bookmarkEnd w:id="11"/>
          </w:p>
        </w:tc>
      </w:tr>
    </w:tbl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>
      <w:pPr>
        <w:pStyle w:val="17"/>
        <w:tabs>
          <w:tab w:val="left" w:pos="420"/>
          <w:tab w:val="right" w:leader="dot" w:pos="9010"/>
        </w:tabs>
      </w:pPr>
    </w:p>
    <w:p/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bookmarkStart w:id="12" w:name="目录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"_Toc87461379" </w:instrText>
      </w:r>
      <w:r>
        <w:fldChar w:fldCharType="separate"/>
      </w:r>
      <w:r>
        <w:rPr>
          <w:rStyle w:val="24"/>
        </w:rPr>
        <w:t>1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</w:rPr>
        <w:t>建筑概况</w:t>
      </w:r>
      <w:r>
        <w:tab/>
      </w:r>
      <w:r>
        <w:fldChar w:fldCharType="begin"/>
      </w:r>
      <w:r>
        <w:instrText xml:space="preserve"> PAGEREF _Toc87461379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r>
        <w:fldChar w:fldCharType="begin"/>
      </w:r>
      <w:r>
        <w:instrText xml:space="preserve"> HYPERLINK \l "_Toc87461380" </w:instrText>
      </w:r>
      <w:r>
        <w:fldChar w:fldCharType="separate"/>
      </w:r>
      <w:r>
        <w:rPr>
          <w:rStyle w:val="24"/>
        </w:rPr>
        <w:t>2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</w:rPr>
        <w:t>评价依据</w:t>
      </w:r>
      <w:r>
        <w:tab/>
      </w:r>
      <w:r>
        <w:fldChar w:fldCharType="begin"/>
      </w:r>
      <w:r>
        <w:instrText xml:space="preserve"> PAGEREF _Toc87461380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"_Toc87461381" </w:instrText>
      </w:r>
      <w:r>
        <w:fldChar w:fldCharType="separate"/>
      </w:r>
      <w:r>
        <w:rPr>
          <w:rStyle w:val="24"/>
          <w:lang w:val="en-GB"/>
        </w:rPr>
        <w:t>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评价目标</w:t>
      </w:r>
      <w:r>
        <w:tab/>
      </w:r>
      <w:r>
        <w:fldChar w:fldCharType="begin"/>
      </w:r>
      <w:r>
        <w:instrText xml:space="preserve"> PAGEREF _Toc87461381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"_Toc87461382" </w:instrText>
      </w:r>
      <w:r>
        <w:fldChar w:fldCharType="separate"/>
      </w:r>
      <w:r>
        <w:rPr>
          <w:rStyle w:val="24"/>
          <w:lang w:val="en-GB"/>
        </w:rPr>
        <w:t>2.2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评价方法</w:t>
      </w:r>
      <w:r>
        <w:tab/>
      </w:r>
      <w:r>
        <w:fldChar w:fldCharType="begin"/>
      </w:r>
      <w:r>
        <w:instrText xml:space="preserve"> PAGEREF _Toc87461382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r>
        <w:fldChar w:fldCharType="begin"/>
      </w:r>
      <w:r>
        <w:instrText xml:space="preserve"> HYPERLINK \l "_Toc87461383" </w:instrText>
      </w:r>
      <w:r>
        <w:fldChar w:fldCharType="separate"/>
      </w:r>
      <w:r>
        <w:rPr>
          <w:rStyle w:val="24"/>
        </w:rPr>
        <w:t>3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</w:rPr>
        <w:t>防潮验算计算过程</w:t>
      </w:r>
      <w:r>
        <w:tab/>
      </w:r>
      <w:r>
        <w:fldChar w:fldCharType="begin"/>
      </w:r>
      <w:r>
        <w:instrText xml:space="preserve"> PAGEREF _Toc87461383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"_Toc87461384" </w:instrText>
      </w:r>
      <w:r>
        <w:fldChar w:fldCharType="separate"/>
      </w:r>
      <w:r>
        <w:rPr>
          <w:rStyle w:val="24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计算条件</w:t>
      </w:r>
      <w:r>
        <w:tab/>
      </w:r>
      <w:r>
        <w:fldChar w:fldCharType="begin"/>
      </w:r>
      <w:r>
        <w:instrText xml:space="preserve"> PAGEREF _Toc87461384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"_Toc87461385" </w:instrText>
      </w:r>
      <w:r>
        <w:fldChar w:fldCharType="separate"/>
      </w:r>
      <w:r>
        <w:rPr>
          <w:rStyle w:val="24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挤塑聚苯板20+加气砼80＋钢筋砼120</w:t>
      </w:r>
      <w:r>
        <w:tab/>
      </w:r>
      <w:r>
        <w:fldChar w:fldCharType="begin"/>
      </w:r>
      <w:r>
        <w:instrText xml:space="preserve"> PAGEREF _Toc87461385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"_Toc87461386" </w:instrText>
      </w:r>
      <w:r>
        <w:fldChar w:fldCharType="separate"/>
      </w:r>
      <w:r>
        <w:rPr>
          <w:rStyle w:val="24"/>
          <w:lang w:val="en-GB"/>
        </w:rPr>
        <w:t>3.2.1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冷凝计算界面至围护结构内表面之间的热阻</w:t>
      </w:r>
      <w:r>
        <w:object>
          <v:shape id="_x0000_i1025" o:spt="75" type="#_x0000_t75" style="height:13.8pt;width:18.6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ab/>
      </w:r>
      <w:r>
        <w:fldChar w:fldCharType="begin"/>
      </w:r>
      <w:r>
        <w:instrText xml:space="preserve"> PAGEREF _Toc87461386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"_Toc87461387" </w:instrText>
      </w:r>
      <w:r>
        <w:fldChar w:fldCharType="separate"/>
      </w:r>
      <w:r>
        <w:rPr>
          <w:rStyle w:val="24"/>
          <w:lang w:val="en-GB"/>
        </w:rPr>
        <w:t>3.2.2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冷凝计算界面温度</w:t>
      </w:r>
      <w:r>
        <w:rPr>
          <w:position w:val="-6"/>
        </w:rPr>
        <w:object>
          <v:shape id="_x0000_i1026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ab/>
      </w:r>
      <w:r>
        <w:fldChar w:fldCharType="begin"/>
      </w:r>
      <w:r>
        <w:instrText xml:space="preserve"> PAGEREF _Toc87461387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"_Toc87461388" </w:instrText>
      </w:r>
      <w:r>
        <w:fldChar w:fldCharType="separate"/>
      </w:r>
      <w:r>
        <w:rPr>
          <w:rStyle w:val="24"/>
          <w:lang w:val="en-GB"/>
        </w:rPr>
        <w:t>3.2.3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围护结构冷凝受潮验算</w:t>
      </w:r>
      <w:r>
        <w:tab/>
      </w:r>
      <w:r>
        <w:fldChar w:fldCharType="begin"/>
      </w:r>
      <w:r>
        <w:instrText xml:space="preserve"> PAGEREF _Toc87461388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"_Toc87461389" </w:instrText>
      </w:r>
      <w:r>
        <w:fldChar w:fldCharType="separate"/>
      </w:r>
      <w:r>
        <w:rPr>
          <w:rStyle w:val="24"/>
          <w:lang w:val="en-GB"/>
        </w:rPr>
        <w:t>3.3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外-挤塑聚苯板20+钢筋砼200</w:t>
      </w:r>
      <w:r>
        <w:tab/>
      </w:r>
      <w:r>
        <w:fldChar w:fldCharType="begin"/>
      </w:r>
      <w:r>
        <w:instrText xml:space="preserve"> PAGEREF _Toc87461389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"_Toc87461390" </w:instrText>
      </w:r>
      <w:r>
        <w:fldChar w:fldCharType="separate"/>
      </w:r>
      <w:r>
        <w:rPr>
          <w:rStyle w:val="24"/>
          <w:lang w:val="en-GB"/>
        </w:rPr>
        <w:t>3.3.1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冷凝计算界面至围护结构内表面之间的热阻</w:t>
      </w:r>
      <w:r>
        <w:pict>
          <v:shape id="_x0000_i1027" o:spt="75" type="#_x0000_t75" style="height:13.8pt;width:18.6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tab/>
      </w:r>
      <w:r>
        <w:fldChar w:fldCharType="begin"/>
      </w:r>
      <w:r>
        <w:instrText xml:space="preserve"> PAGEREF _Toc87461390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"_Toc87461391" </w:instrText>
      </w:r>
      <w:r>
        <w:fldChar w:fldCharType="separate"/>
      </w:r>
      <w:r>
        <w:rPr>
          <w:rStyle w:val="24"/>
          <w:lang w:val="en-GB"/>
        </w:rPr>
        <w:t>3.3.2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冷凝计算界面温度</w:t>
      </w:r>
      <w:r>
        <w:rPr>
          <w:position w:val="-6"/>
        </w:rPr>
        <w:pict>
          <v:shape id="_x0000_i1028" o:spt="75" type="#_x0000_t75" style="height:13.8pt;width:13.8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ab/>
      </w:r>
      <w:r>
        <w:fldChar w:fldCharType="begin"/>
      </w:r>
      <w:r>
        <w:instrText xml:space="preserve"> PAGEREF _Toc87461391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"_Toc87461392" </w:instrText>
      </w:r>
      <w:r>
        <w:fldChar w:fldCharType="separate"/>
      </w:r>
      <w:r>
        <w:rPr>
          <w:rStyle w:val="24"/>
          <w:lang w:val="en-GB"/>
        </w:rPr>
        <w:t>3.3.3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围护结构冷凝受潮验算</w:t>
      </w:r>
      <w:r>
        <w:tab/>
      </w:r>
      <w:r>
        <w:fldChar w:fldCharType="begin"/>
      </w:r>
      <w:r>
        <w:instrText xml:space="preserve"> PAGEREF _Toc87461392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"_Toc87461393" </w:instrText>
      </w:r>
      <w:r>
        <w:fldChar w:fldCharType="separate"/>
      </w:r>
      <w:r>
        <w:rPr>
          <w:rStyle w:val="24"/>
          <w:lang w:val="en-GB"/>
        </w:rPr>
        <w:t>3.4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外-挤塑聚苯板20+钢筋砼200</w:t>
      </w:r>
      <w:r>
        <w:tab/>
      </w:r>
      <w:r>
        <w:fldChar w:fldCharType="begin"/>
      </w:r>
      <w:r>
        <w:instrText xml:space="preserve"> PAGEREF _Toc87461393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"_Toc87461394" </w:instrText>
      </w:r>
      <w:r>
        <w:fldChar w:fldCharType="separate"/>
      </w:r>
      <w:r>
        <w:rPr>
          <w:rStyle w:val="24"/>
          <w:lang w:val="en-GB"/>
        </w:rPr>
        <w:t>3.4.1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冷凝计算界面至围护结构内表面之间的热阻</w:t>
      </w:r>
      <w:r>
        <w:pict>
          <v:shape id="_x0000_i1029" o:spt="75" type="#_x0000_t75" style="height:13.8pt;width:18.6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tab/>
      </w:r>
      <w:r>
        <w:fldChar w:fldCharType="begin"/>
      </w:r>
      <w:r>
        <w:instrText xml:space="preserve"> PAGEREF _Toc87461394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"_Toc87461395" </w:instrText>
      </w:r>
      <w:r>
        <w:fldChar w:fldCharType="separate"/>
      </w:r>
      <w:r>
        <w:rPr>
          <w:rStyle w:val="24"/>
          <w:lang w:val="en-GB"/>
        </w:rPr>
        <w:t>3.4.2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冷凝计算界面温度</w:t>
      </w:r>
      <w:r>
        <w:rPr>
          <w:position w:val="-6"/>
        </w:rPr>
        <w:pict>
          <v:shape id="_x0000_i1030" o:spt="75" type="#_x0000_t75" style="height:13.8pt;width:13.8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ab/>
      </w:r>
      <w:r>
        <w:fldChar w:fldCharType="begin"/>
      </w:r>
      <w:r>
        <w:instrText xml:space="preserve"> PAGEREF _Toc87461395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"_Toc87461396" </w:instrText>
      </w:r>
      <w:r>
        <w:fldChar w:fldCharType="separate"/>
      </w:r>
      <w:r>
        <w:rPr>
          <w:rStyle w:val="24"/>
          <w:lang w:val="en-GB"/>
        </w:rPr>
        <w:t>3.4.3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围护结构冷凝受潮验算</w:t>
      </w:r>
      <w:r>
        <w:tab/>
      </w:r>
      <w:r>
        <w:fldChar w:fldCharType="begin"/>
      </w:r>
      <w:r>
        <w:instrText xml:space="preserve"> PAGEREF _Toc87461396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r>
        <w:fldChar w:fldCharType="begin"/>
      </w:r>
      <w:r>
        <w:instrText xml:space="preserve"> HYPERLINK \l "_Toc87461397" </w:instrText>
      </w:r>
      <w:r>
        <w:fldChar w:fldCharType="separate"/>
      </w:r>
      <w:r>
        <w:rPr>
          <w:rStyle w:val="24"/>
        </w:rPr>
        <w:t>4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</w:rPr>
        <w:t>验算结论</w:t>
      </w:r>
      <w:r>
        <w:tab/>
      </w:r>
      <w:r>
        <w:fldChar w:fldCharType="begin"/>
      </w:r>
      <w:r>
        <w:instrText xml:space="preserve"> PAGEREF _Toc87461397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r>
        <w:fldChar w:fldCharType="end"/>
      </w:r>
      <w:bookmarkEnd w:id="12"/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>
      <w:pPr>
        <w:pStyle w:val="2"/>
        <w:spacing w:line="240" w:lineRule="atLeast"/>
      </w:pPr>
      <w:bookmarkStart w:id="13" w:name="_Toc480218444"/>
      <w:bookmarkStart w:id="14" w:name="_Toc316568035"/>
      <w:bookmarkStart w:id="15" w:name="_Toc480186060"/>
      <w:bookmarkStart w:id="16" w:name="_Toc480186122"/>
      <w:bookmarkStart w:id="17" w:name="_Toc87461379"/>
      <w:r>
        <w:rPr>
          <w:rFonts w:hint="eastAsia"/>
        </w:rPr>
        <w:t>建筑概况</w:t>
      </w:r>
      <w:bookmarkEnd w:id="13"/>
      <w:bookmarkEnd w:id="14"/>
      <w:bookmarkEnd w:id="15"/>
      <w:bookmarkEnd w:id="16"/>
      <w:bookmarkEnd w:id="17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3115"/>
        <w:gridCol w:w="31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bookmarkStart w:id="18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9" w:name="工程名称"/>
            <w:r>
              <w:t>新建项目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0" w:name="工程地点"/>
            <w:r>
              <w:t>山东-泰安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北纬：</w:t>
            </w:r>
            <w:bookmarkStart w:id="21" w:name="纬度"/>
            <w:r>
              <w:rPr>
                <w:rFonts w:hint="eastAsia"/>
              </w:rPr>
              <w:t>36.20</w:t>
            </w:r>
            <w:bookmarkEnd w:id="21"/>
            <w:r>
              <w:rPr>
                <w:rFonts w:hint="eastAsia" w:ascii="宋体" w:hAnsi="宋体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东经：</w:t>
            </w:r>
            <w:bookmarkStart w:id="22" w:name="经度"/>
            <w:r>
              <w:rPr>
                <w:rFonts w:hint="eastAsia"/>
              </w:rPr>
              <w:t>117.10</w:t>
            </w:r>
            <w:bookmarkEnd w:id="22"/>
            <w:r>
              <w:rPr>
                <w:rFonts w:hint="eastAsia" w:ascii="宋体" w:hAnsi="宋体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3" w:name="气候分区"/>
            <w:r>
              <w:t>寒冷A区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4" w:name="地上建筑面积"/>
            <w:r>
              <w:rPr>
                <w:rFonts w:hint="eastAsia"/>
              </w:rPr>
              <w:t>6099</w:t>
            </w:r>
            <w:bookmarkEnd w:id="24"/>
            <w:r>
              <w:rPr>
                <w:rFonts w:hint="eastAsia"/>
              </w:rPr>
              <w:t>㎡    地下</w:t>
            </w:r>
            <w:bookmarkStart w:id="25" w:name="地下建筑面积"/>
            <w:r>
              <w:rPr>
                <w:rFonts w:hint="eastAsia"/>
              </w:rPr>
              <w:t>0</w:t>
            </w:r>
            <w:bookmarkEnd w:id="25"/>
            <w:r>
              <w:rPr>
                <w:rFonts w:hint="eastAsia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6" w:name="地上建筑层数"/>
            <w:r>
              <w:rPr>
                <w:rFonts w:hint="eastAsia"/>
              </w:rPr>
              <w:t>11</w:t>
            </w:r>
            <w:bookmarkEnd w:id="26"/>
            <w:r>
              <w:rPr>
                <w:rFonts w:hint="eastAsia"/>
              </w:rPr>
              <w:t xml:space="preserve">          地下</w:t>
            </w:r>
            <w:bookmarkStart w:id="27" w:name="地下建筑层数"/>
            <w:r>
              <w:t>0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8" w:name="地上建筑高度"/>
            <w:r>
              <w:rPr>
                <w:rFonts w:hint="eastAsia"/>
              </w:rPr>
              <w:t>33.0</w:t>
            </w:r>
            <w:bookmarkEnd w:id="28"/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9" w:name="结构类型"/>
            <w:bookmarkEnd w:id="29"/>
          </w:p>
        </w:tc>
      </w:tr>
      <w:bookmarkEnd w:id="18"/>
    </w:tbl>
    <w:p>
      <w:pPr>
        <w:rPr>
          <w:b/>
          <w:sz w:val="24"/>
        </w:rPr>
      </w:pPr>
    </w:p>
    <w:p>
      <w:pPr>
        <w:pStyle w:val="2"/>
        <w:spacing w:line="240" w:lineRule="atLeast"/>
      </w:pPr>
      <w:bookmarkStart w:id="30" w:name="_Toc316568036"/>
      <w:bookmarkStart w:id="31" w:name="_Toc480186123"/>
      <w:bookmarkStart w:id="32" w:name="_Toc480186061"/>
      <w:bookmarkStart w:id="33" w:name="_Toc87461380"/>
      <w:bookmarkStart w:id="34" w:name="_Toc480218445"/>
      <w:bookmarkStart w:id="35" w:name="TitleFormat"/>
      <w:r>
        <w:rPr>
          <w:rFonts w:hint="eastAsia"/>
        </w:rPr>
        <w:t>评价依据</w:t>
      </w:r>
      <w:bookmarkEnd w:id="30"/>
      <w:bookmarkEnd w:id="31"/>
      <w:bookmarkEnd w:id="32"/>
      <w:bookmarkEnd w:id="33"/>
      <w:bookmarkEnd w:id="34"/>
    </w:p>
    <w:bookmarkEnd w:id="35"/>
    <w:p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《山东省居住建筑节能设计标准》(DBJ 14-037-2012)</w:t>
      </w:r>
      <w:bookmarkEnd w:id="36"/>
    </w:p>
    <w:p>
      <w:pPr>
        <w:spacing w:line="240" w:lineRule="atLeast"/>
      </w:pPr>
      <w:r>
        <w:rPr>
          <w:rFonts w:hint="eastAsia"/>
        </w:rPr>
        <w:t>2. 《民用建筑热工设计规范》</w:t>
      </w:r>
      <w:r>
        <w:t>GB50176</w:t>
      </w:r>
    </w:p>
    <w:p>
      <w:pPr>
        <w:spacing w:line="240" w:lineRule="atLeast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 xml:space="preserve"> 《绿色建筑评价标准》GB</w:t>
      </w:r>
      <w:r>
        <w:t>/T</w:t>
      </w:r>
      <w:r>
        <w:rPr>
          <w:rFonts w:hint="eastAsia"/>
        </w:rPr>
        <w:t>50</w:t>
      </w:r>
      <w:r>
        <w:t>378</w:t>
      </w:r>
    </w:p>
    <w:p>
      <w:pPr>
        <w:spacing w:line="240" w:lineRule="atLeast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《绿色建筑评价技术细则（试行）》</w:t>
      </w:r>
    </w:p>
    <w:p>
      <w:pPr>
        <w:spacing w:line="240" w:lineRule="atLeast"/>
      </w:pPr>
      <w:r>
        <w:rPr>
          <w:rFonts w:hint="eastAsia"/>
        </w:rPr>
        <w:t>5</w:t>
      </w:r>
      <w:r>
        <w:t xml:space="preserve">.  </w:t>
      </w:r>
      <w:r>
        <w:rPr>
          <w:rFonts w:hint="eastAsia"/>
        </w:rPr>
        <w:t>施工图、设计说明、节能计算书</w:t>
      </w:r>
    </w:p>
    <w:p>
      <w:pPr>
        <w:pStyle w:val="41"/>
        <w:spacing w:line="240" w:lineRule="atLeast"/>
        <w:ind w:left="420" w:firstLine="0" w:firstLineChars="0"/>
      </w:pPr>
    </w:p>
    <w:p>
      <w:pPr>
        <w:pStyle w:val="4"/>
        <w:spacing w:line="240" w:lineRule="atLeast"/>
        <w:rPr>
          <w:kern w:val="2"/>
        </w:rPr>
      </w:pPr>
      <w:bookmarkStart w:id="37" w:name="_Toc480186062"/>
      <w:bookmarkStart w:id="38" w:name="_Toc480218446"/>
      <w:bookmarkStart w:id="39" w:name="_Toc87461381"/>
      <w:bookmarkStart w:id="40" w:name="_Toc480186124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>
        <w:t>依据《民用建筑热工设计规范》</w:t>
      </w:r>
      <w:r>
        <w:rPr>
          <w:rFonts w:hint="eastAsia"/>
        </w:rPr>
        <w:t>GB50176和《绿色建筑评价标准》GB</w:t>
      </w:r>
      <w:r>
        <w:t>/T</w:t>
      </w:r>
      <w:r>
        <w:rPr>
          <w:rFonts w:hint="eastAsia"/>
        </w:rPr>
        <w:t>50</w:t>
      </w:r>
      <w:r>
        <w:t>378</w:t>
      </w:r>
      <w:r>
        <w:rPr>
          <w:rFonts w:hint="eastAsia"/>
        </w:rPr>
        <w:t>的要求和规定，采暖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湿度允许增量，应符合要求。</w:t>
      </w: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>
        <w:rPr>
          <w:rFonts w:hint="eastAsia"/>
        </w:rPr>
        <w:t>通过计算采暖期间围护结构中</w:t>
      </w:r>
      <w:r>
        <w:t>保温材料因内部冷凝受潮而增加的湿度，判断是否</w:t>
      </w:r>
      <w:r>
        <w:rPr>
          <w:rFonts w:hint="eastAsia"/>
        </w:rPr>
        <w:t>不大于</w:t>
      </w:r>
      <w:r>
        <w:t>《民用建筑热工设计规范</w:t>
      </w:r>
      <w:r>
        <w:rPr>
          <w:rFonts w:hint="eastAsia"/>
        </w:rPr>
        <w:t>》GB50176规定</w:t>
      </w:r>
      <w:r>
        <w:t>的</w:t>
      </w:r>
      <w:r>
        <w:rPr>
          <w:rFonts w:hint="eastAsia"/>
        </w:rPr>
        <w:t>采暖期间保温材料重量湿度的允许增量。</w:t>
      </w:r>
    </w:p>
    <w:p>
      <w:pPr>
        <w:pStyle w:val="4"/>
        <w:spacing w:line="240" w:lineRule="atLeast"/>
        <w:rPr>
          <w:kern w:val="2"/>
        </w:rPr>
      </w:pPr>
      <w:bookmarkStart w:id="41" w:name="_Toc480186125"/>
      <w:bookmarkStart w:id="42" w:name="_Toc480218447"/>
      <w:bookmarkStart w:id="43" w:name="_Toc479931706"/>
      <w:bookmarkStart w:id="44" w:name="_Toc87461382"/>
      <w:bookmarkStart w:id="45" w:name="_Toc480186063"/>
      <w:r>
        <w:rPr>
          <w:rFonts w:hint="eastAsia"/>
          <w:kern w:val="2"/>
        </w:rPr>
        <w:t>评价方法</w:t>
      </w:r>
      <w:bookmarkEnd w:id="41"/>
      <w:bookmarkEnd w:id="42"/>
      <w:bookmarkEnd w:id="43"/>
      <w:bookmarkEnd w:id="44"/>
      <w:bookmarkEnd w:id="45"/>
    </w:p>
    <w:p>
      <w:pPr>
        <w:pStyle w:val="41"/>
      </w:pPr>
      <w:r>
        <w:rPr>
          <w:rFonts w:hint="eastAsia"/>
        </w:rPr>
        <w:t>根据《民用建筑热工设计规范》GB50176-2016第</w:t>
      </w:r>
      <w:r>
        <w:t>7.1.4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>
      <w:pPr>
        <w:wordWrap w:val="0"/>
        <w:jc w:val="right"/>
      </w:pPr>
      <w:r>
        <w:rPr>
          <w:position w:val="-54"/>
        </w:rPr>
        <w:object>
          <v:shape id="_x0000_i1031" o:spt="75" type="#_x0000_t75" style="height:45.6pt;width:141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31" DrawAspect="Content" ObjectID="_1468075727" r:id="rId11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>
      <w:r>
        <w:rPr>
          <w:rFonts w:hint="eastAsia"/>
        </w:rPr>
        <w:t>则推导：</w:t>
      </w:r>
    </w:p>
    <w:p>
      <w:pPr>
        <w:wordWrap w:val="0"/>
        <w:jc w:val="right"/>
      </w:pPr>
      <w:r>
        <w:rPr>
          <w:position w:val="-28"/>
        </w:rPr>
        <w:object>
          <v:shape id="_x0000_i1032" o:spt="75" type="#_x0000_t75" style="height:50.4pt;width:162.6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32" DrawAspect="Content" ObjectID="_1468075728" r:id="rId13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>
      <w:r>
        <w:rPr>
          <w:rFonts w:hint="eastAsia"/>
        </w:rPr>
        <w:t>式中：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33" o:spt="75" type="#_x0000_t75" style="height:16.2pt;width:24.6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1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4" o:spt="75" type="#_x0000_t75" style="height:13.8pt;width:20.4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4" DrawAspect="Content" ObjectID="_1468075730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5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6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7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8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9" o:spt="75" type="#_x0000_t75" style="height:13.8pt;width:21.6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9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41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42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43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4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4" DrawAspect="Content" ObjectID="_1468075732" r:id="rId2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5" o:spt="75" type="#_x0000_t75" style="height:13.8pt;width:1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5" DrawAspect="Content" ObjectID="_1468075733" r:id="rId2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6" o:spt="75" type="#_x0000_t75" style="height:13.8pt;width:20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6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7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7" DrawAspect="Content" ObjectID="_1468075735" r:id="rId2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8" o:spt="75" type="#_x0000_t75" style="height:13.2pt;width:1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48" DrawAspect="Content" ObjectID="_1468075736" r:id="rId31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9" o:spt="75" type="#_x0000_t75" style="height:13.8pt;width:13.2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9" DrawAspect="Content" ObjectID="_1468075737" r:id="rId3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0" o:spt="75" type="#_x0000_t75" style="height:33.6pt;width:117.6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50" DrawAspect="Content" ObjectID="_1468075738" r:id="rId35">
            <o:LockedField>false</o:LockedField>
          </o:OLEObject>
        </w:objec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51" o:spt="75" type="#_x0000_t75" style="height:18pt;width:13.2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51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2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52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3" o:spt="75" type="#_x0000_t75" style="height:18pt;width:10.8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53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4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54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5" o:spt="75" type="#_x0000_t75" style="height:18pt;width:13.2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55" DrawAspect="Content" ObjectID="_1468075743" r:id="rId4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6" o:spt="75" type="#_x0000_t75" style="height:19.2pt;width:19.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56" DrawAspect="Content" ObjectID="_1468075744" r:id="rId4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pStyle w:val="2"/>
        <w:spacing w:line="240" w:lineRule="atLeast"/>
      </w:pPr>
      <w:bookmarkStart w:id="46" w:name="_Toc480186064"/>
      <w:bookmarkStart w:id="47" w:name="_Toc480186126"/>
      <w:bookmarkStart w:id="48" w:name="_Toc87461383"/>
      <w:bookmarkStart w:id="49" w:name="_Toc480218448"/>
      <w:r>
        <w:rPr>
          <w:rFonts w:hint="eastAsia"/>
        </w:rPr>
        <w:t>防潮验算</w:t>
      </w:r>
      <w:r>
        <w:t>计算过程</w:t>
      </w:r>
      <w:bookmarkEnd w:id="46"/>
      <w:bookmarkEnd w:id="47"/>
      <w:bookmarkEnd w:id="48"/>
      <w:bookmarkEnd w:id="49"/>
    </w:p>
    <w:p>
      <w:pPr>
        <w:pStyle w:val="4"/>
        <w:spacing w:line="240" w:lineRule="atLeast"/>
        <w:rPr>
          <w:kern w:val="2"/>
        </w:rPr>
      </w:pPr>
      <w:bookmarkStart w:id="50" w:name="_Toc87461384"/>
      <w:r>
        <w:rPr>
          <w:rFonts w:hint="eastAsia"/>
          <w:kern w:val="2"/>
        </w:rPr>
        <w:t>计算条件</w:t>
      </w:r>
      <w:bookmarkEnd w:id="50"/>
    </w:p>
    <w:tbl>
      <w:tblPr>
        <w:tblStyle w:val="20"/>
        <w:tblW w:w="932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57" o:spt="75" type="#_x0000_t75" style="height:13.8pt;width:13.8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45" r:id="rId49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>
              <w:fldChar w:fldCharType="begin"/>
            </w:r>
            <w:r>
              <w:instrText xml:space="preserve"> QUOTE </w:instrText>
            </w:r>
            <w:r>
              <w:rPr>
                <w:position w:val="-8"/>
              </w:rPr>
              <w:pict>
                <v:shape id="_x0000_i1058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instrText xml:space="preserve"> </w:instrText>
            </w:r>
            <w:r>
              <w:fldChar w:fldCharType="separate"/>
            </w:r>
            <w:r>
              <w:rPr>
                <w:position w:val="-8"/>
              </w:rPr>
              <w:pict>
                <v:shape id="_x0000_i1059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fldChar w:fldCharType="end"/>
            </w:r>
            <w:r>
              <w:rPr>
                <w:rFonts w:hint="eastAsia"/>
              </w:rPr>
              <w:t>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hint="eastAsia" w:ascii="宋体" w:hAnsi="宋体" w:cs="宋体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1" w:name="t_i_avg"/>
            <w:r>
              <w:rPr>
                <w:rFonts w:hint="eastAsia"/>
              </w:rPr>
              <w:t>18</w:t>
            </w:r>
            <w:bookmarkEnd w:id="51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室内</w:t>
            </w:r>
            <w:r>
              <w:t>相对湿度(</w:t>
            </w:r>
            <w:r>
              <w:rPr>
                <w:rFonts w:hint="eastAsia" w:ascii="宋体" w:hAnsi="宋体" w:cs="宋体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2" w:name="室内相对湿度"/>
            <w:r>
              <w:rPr>
                <w:rFonts w:hint="eastAsia"/>
              </w:rPr>
              <w:t>60</w:t>
            </w:r>
            <w:bookmarkEnd w:id="52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60" o:spt="75" type="#_x0000_t75" style="height:17.4pt;width:9.6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46" r:id="rId51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3" w:name="t_e_avg"/>
            <w:r>
              <w:rPr>
                <w:rFonts w:hint="eastAsia"/>
              </w:rPr>
              <w:t>1.80</w:t>
            </w:r>
            <w:bookmarkEnd w:id="53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室外</w:t>
            </w:r>
            <w:r>
              <w:t>相对湿度(</w:t>
            </w:r>
            <w:r>
              <w:rPr>
                <w:rFonts w:hint="eastAsia" w:ascii="宋体" w:hAnsi="宋体" w:cs="宋体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bookmarkStart w:id="54" w:name="室外相对湿度"/>
            <w:r>
              <w:rPr>
                <w:rFonts w:hint="eastAsia"/>
              </w:rPr>
              <w:t>51.00</w:t>
            </w:r>
            <w:bookmarkEnd w:id="54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bookmarkStart w:id="55" w:name="Z"/>
            <w:r>
              <w:rPr>
                <w:rFonts w:hint="eastAsia"/>
              </w:rPr>
              <w:t>92</w:t>
            </w:r>
            <w:bookmarkEnd w:id="55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>
      <w:r>
        <w:rPr>
          <w:rFonts w:hint="eastAsia"/>
        </w:rPr>
        <w:t xml:space="preserve"> </w:t>
      </w:r>
      <w:bookmarkStart w:id="56" w:name="气象数据参考"/>
      <w:r>
        <w:t>注：气象数据参考 山东-济南.</w:t>
      </w:r>
      <w:r>
        <w:br w:type="textWrapping"/>
      </w:r>
      <w:bookmarkEnd w:id="56"/>
    </w:p>
    <w:p>
      <w:pPr>
        <w:pStyle w:val="3"/>
        <w:ind w:left="0" w:leftChars="0" w:right="1470"/>
      </w:pPr>
    </w:p>
    <w:p>
      <w:pPr>
        <w:pStyle w:val="4"/>
        <w:spacing w:line="240" w:lineRule="atLeast"/>
        <w:rPr>
          <w:kern w:val="2"/>
        </w:rPr>
      </w:pPr>
      <w:bookmarkStart w:id="57" w:name="_Toc87461385"/>
      <w:r>
        <w:rPr>
          <w:rFonts w:hint="eastAsia"/>
          <w:kern w:val="2"/>
        </w:rPr>
        <w:t>挤塑聚苯板20+加气砼80＋钢筋砼120</w:t>
      </w:r>
      <w:bookmarkEnd w:id="57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碎石、卵石混凝土(ρ=2300)</w:t>
            </w:r>
          </w:p>
        </w:tc>
        <w:tc>
          <w:tcPr>
            <w:tcW w:w="848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1.510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2300.00</w:t>
            </w:r>
          </w:p>
        </w:tc>
        <w:tc>
          <w:tcPr>
            <w:tcW w:w="1559" w:type="dxa"/>
            <w:vAlign w:val="center"/>
          </w:tcPr>
          <w:p>
            <w:r>
              <w:t>0.0173</w:t>
            </w:r>
          </w:p>
        </w:tc>
        <w:tc>
          <w:tcPr>
            <w:tcW w:w="993" w:type="dxa"/>
            <w:vAlign w:val="center"/>
          </w:tcPr>
          <w:p>
            <w:r>
              <w:t>0.026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挤塑聚苯板(ρ=25-32)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671" w:type="dxa"/>
            <w:vAlign w:val="center"/>
          </w:tcPr>
          <w:p>
            <w:r>
              <w:t>1.20</w:t>
            </w:r>
          </w:p>
        </w:tc>
        <w:tc>
          <w:tcPr>
            <w:tcW w:w="992" w:type="dxa"/>
            <w:vAlign w:val="center"/>
          </w:tcPr>
          <w:p>
            <w:r>
              <w:t>28.50</w:t>
            </w:r>
          </w:p>
        </w:tc>
        <w:tc>
          <w:tcPr>
            <w:tcW w:w="1559" w:type="dxa"/>
            <w:vAlign w:val="center"/>
          </w:tcPr>
          <w:p>
            <w:r>
              <w:t>0.0162</w:t>
            </w:r>
          </w:p>
        </w:tc>
        <w:tc>
          <w:tcPr>
            <w:tcW w:w="993" w:type="dxa"/>
            <w:vAlign w:val="center"/>
          </w:tcPr>
          <w:p>
            <w:r>
              <w:t>0.556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加气混凝土、泡沫混凝土(ρ=700)</w:t>
            </w:r>
          </w:p>
        </w:tc>
        <w:tc>
          <w:tcPr>
            <w:tcW w:w="848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0.220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700.00</w:t>
            </w:r>
          </w:p>
        </w:tc>
        <w:tc>
          <w:tcPr>
            <w:tcW w:w="1559" w:type="dxa"/>
            <w:vAlign w:val="center"/>
          </w:tcPr>
          <w:p>
            <w:r>
              <w:t>0.0998</w:t>
            </w:r>
          </w:p>
        </w:tc>
        <w:tc>
          <w:tcPr>
            <w:tcW w:w="993" w:type="dxa"/>
            <w:vAlign w:val="center"/>
          </w:tcPr>
          <w:p>
            <w:r>
              <w:t>0.364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0.069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1600.00</w:t>
            </w:r>
          </w:p>
        </w:tc>
        <w:tc>
          <w:tcPr>
            <w:tcW w:w="1559" w:type="dxa"/>
            <w:vAlign w:val="center"/>
          </w:tcPr>
          <w:p>
            <w:r>
              <w:t>0.0443</w:t>
            </w:r>
          </w:p>
        </w:tc>
        <w:tc>
          <w:tcPr>
            <w:tcW w:w="993" w:type="dxa"/>
            <w:vAlign w:val="center"/>
          </w:tcPr>
          <w:p>
            <w:r>
              <w:t>0.025</w:t>
            </w:r>
          </w:p>
        </w:tc>
      </w:tr>
    </w:tbl>
    <w:p>
      <w:pPr>
        <w:pStyle w:val="3"/>
        <w:ind w:left="1470" w:right="1470"/>
      </w:pPr>
    </w:p>
    <w:p>
      <w:pPr>
        <w:pStyle w:val="5"/>
      </w:pPr>
      <w:bookmarkStart w:id="58" w:name="_Toc87461386"/>
      <w:r>
        <w:rPr>
          <w:rFonts w:hint="eastAsia"/>
        </w:rPr>
        <w:t>冷凝计算界面至围护结构内表面之间的热阻</w:t>
      </w:r>
      <w:bookmarkEnd w:id="58"/>
      <w:r>
        <w:object>
          <v:shape id="_x0000_i1061" o:spt="75" type="#_x0000_t75" style="height:13.8pt;width:18.6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61" DrawAspect="Content" ObjectID="_1468075747" r:id="rId53">
            <o:LockedField>false</o:LockedField>
          </o:OLEObject>
        </w:object>
      </w:r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62" o:spt="75" type="#_x0000_t75" style="height:13.8pt;width:18.6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62" DrawAspect="Content" ObjectID="_1468075748" r:id="rId54">
            <o:LockedField>false</o:LockedField>
          </o:OLEObject>
        </w:object>
      </w:r>
      <w:r>
        <w:rPr>
          <w:b/>
          <w:bCs/>
        </w:rPr>
        <w:t>=</w:t>
      </w:r>
      <w:r>
        <w:rPr>
          <w:rFonts w:hint="eastAsia"/>
        </w:rPr>
        <w:t>1.03</w:t>
      </w:r>
    </w:p>
    <w:p>
      <w:pPr>
        <w:pStyle w:val="5"/>
        <w:ind w:right="1470"/>
      </w:pPr>
      <w:bookmarkStart w:id="59" w:name="_Toc87461387"/>
      <w:r>
        <w:rPr>
          <w:rFonts w:hint="eastAsia"/>
        </w:rPr>
        <w:t>冷凝计算界面温度</w:t>
      </w:r>
      <w:bookmarkEnd w:id="59"/>
      <w:r>
        <w:rPr>
          <w:position w:val="-6"/>
        </w:rPr>
        <w:object>
          <v:shape id="_x0000_i1063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63" DrawAspect="Content" ObjectID="_1468075749" r:id="rId55">
            <o:LockedField>false</o:LockedField>
          </o:OLEObject>
        </w:object>
      </w:r>
    </w:p>
    <w:p>
      <w:pPr>
        <w:jc w:val="center"/>
      </w:pPr>
      <w:r>
        <w:object>
          <v:shape id="_x0000_i1064" o:spt="75" type="#_x0000_t75" style="height:33pt;width:111.6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64" DrawAspect="Content" ObjectID="_1468075750" r:id="rId56">
            <o:LockedField>false</o:LockedField>
          </o:OLEObject>
        </w:obje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65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65" DrawAspect="Content" ObjectID="_1468075751" r:id="rId58">
            <o:LockedField>false</o:LockedField>
          </o:OLEObject>
        </w:object>
      </w:r>
      <w:r>
        <w:t>=</w:t>
      </w:r>
      <w:r>
        <w:rPr>
          <w:rFonts w:hint="eastAsia"/>
        </w:rPr>
        <w:t>2.69</w:t>
      </w:r>
    </w:p>
    <w:p>
      <w:pPr>
        <w:pStyle w:val="5"/>
        <w:ind w:right="1470"/>
      </w:pPr>
      <w:bookmarkStart w:id="60" w:name="_Toc87461388"/>
      <w:r>
        <w:rPr>
          <w:rStyle w:val="32"/>
          <w:rFonts w:hint="eastAsia"/>
          <w:b/>
          <w:bCs w:val="0"/>
        </w:rPr>
        <w:t>围护结构冷凝受潮验算</w:t>
      </w:r>
      <w:bookmarkEnd w:id="60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66" o:spt="75" type="#_x0000_t75" style="height:13.8pt;width:20.4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67" o:spt="75" type="#_x0000_t75" style="height:13.8pt;width:20.4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9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0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1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11034.96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2" o:spt="75" type="#_x0000_t75" style="height:13.8pt;width:21.6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3" o:spt="75" type="#_x0000_t75" style="height:13.8pt;width:21.6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4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5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6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7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2312.14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8" o:spt="75" type="#_x0000_t75" style="height:13.8pt;width:13.8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9" o:spt="75" type="#_x0000_t75" style="height:13.8pt;width:13.8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80" o:spt="75" type="#_x0000_t75" style="height:13.8pt;width:1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81" o:spt="75" type="#_x0000_t75" style="height:13.8pt;width:1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59" r:id="rId66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354.55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82" o:spt="75" type="#_x0000_t75" style="height:13.8pt;width:20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0" r:id="rId6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83" o:spt="75" type="#_x0000_t75" style="height:13.8pt;width:20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61" r:id="rId68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84" o:spt="75" type="#_x0000_t75" style="height:13.8pt;width:13.8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62" r:id="rId69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740.86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object>
                <v:shape id="_x0000_i1085" o:spt="75" type="#_x0000_t75" style="height:13.2pt;width:1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86" o:spt="75" type="#_x0000_t75" style="height:13.2pt;width:1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28.50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object>
                <v:shape id="_x0000_i1087" o:spt="75" type="#_x0000_t75" style="height:13.8pt;width:13.2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object>
                <v:shape id="_x0000_i1088" o:spt="75" type="#_x0000_t75" style="height:13.8pt;width:13.2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66" r:id="rId73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0.02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object>
                <v:shape id="_x0000_i1089" o:spt="75" type="#_x0000_t75" style="height:43.8pt;width:142.2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67" r:id="rId74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90" o:spt="75" type="#_x0000_t75" style="height:16.2pt;width:24.6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68" r:id="rId7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>
      <w:pPr>
        <w:widowControl/>
        <w:jc w:val="left"/>
      </w:pPr>
    </w:p>
    <w:p>
      <w:pPr>
        <w:pStyle w:val="4"/>
        <w:spacing w:line="240" w:lineRule="atLeast"/>
        <w:rPr>
          <w:kern w:val="2"/>
        </w:rPr>
      </w:pPr>
      <w:bookmarkStart w:id="61" w:name="_Toc87461389"/>
      <w:r>
        <w:rPr>
          <w:rFonts w:hint="eastAsia"/>
          <w:kern w:val="2"/>
        </w:rPr>
        <w:t>外-挤塑聚苯板20+钢筋砼200</w:t>
      </w:r>
      <w:bookmarkEnd w:id="61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挤塑聚苯板(ρ=25-32)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671" w:type="dxa"/>
            <w:vAlign w:val="center"/>
          </w:tcPr>
          <w:p>
            <w:r>
              <w:t>1.20</w:t>
            </w:r>
          </w:p>
        </w:tc>
        <w:tc>
          <w:tcPr>
            <w:tcW w:w="992" w:type="dxa"/>
            <w:vAlign w:val="center"/>
          </w:tcPr>
          <w:p>
            <w:r>
              <w:t>28.50</w:t>
            </w:r>
          </w:p>
        </w:tc>
        <w:tc>
          <w:tcPr>
            <w:tcW w:w="1559" w:type="dxa"/>
            <w:vAlign w:val="center"/>
          </w:tcPr>
          <w:p>
            <w:r>
              <w:t>0.0162</w:t>
            </w:r>
          </w:p>
        </w:tc>
        <w:tc>
          <w:tcPr>
            <w:tcW w:w="993" w:type="dxa"/>
            <w:vAlign w:val="center"/>
          </w:tcPr>
          <w:p>
            <w:r>
              <w:t>0.556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0.115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1600.00</w:t>
            </w:r>
          </w:p>
        </w:tc>
        <w:tc>
          <w:tcPr>
            <w:tcW w:w="1559" w:type="dxa"/>
            <w:vAlign w:val="center"/>
          </w:tcPr>
          <w:p>
            <w:r>
              <w:t>0.0443</w:t>
            </w:r>
          </w:p>
        </w:tc>
        <w:tc>
          <w:tcPr>
            <w:tcW w:w="993" w:type="dxa"/>
            <w:vAlign w:val="center"/>
          </w:tcPr>
          <w:p>
            <w:r>
              <w:t>0.025</w:t>
            </w:r>
          </w:p>
        </w:tc>
      </w:tr>
    </w:tbl>
    <w:p>
      <w:pPr>
        <w:pStyle w:val="3"/>
        <w:ind w:left="1470" w:right="1470"/>
      </w:pPr>
    </w:p>
    <w:p>
      <w:pPr>
        <w:pStyle w:val="5"/>
      </w:pPr>
      <w:bookmarkStart w:id="62" w:name="_Toc87461390"/>
      <w:r>
        <w:rPr>
          <w:rFonts w:hint="eastAsia"/>
        </w:rPr>
        <w:t>冷凝计算界面至围护结构内表面之间的热阻</w:t>
      </w:r>
      <w:r>
        <w:pict>
          <v:shape id="_x0000_i1091" o:spt="75" type="#_x0000_t75" style="height:13.8pt;width:18.6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bookmarkEnd w:id="62"/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92" o:spt="75" type="#_x0000_t75" style="height:13.8pt;width:18.6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0.72</w:t>
      </w:r>
    </w:p>
    <w:p>
      <w:pPr>
        <w:pStyle w:val="5"/>
        <w:ind w:right="1470"/>
      </w:pPr>
      <w:bookmarkStart w:id="63" w:name="_Toc87461391"/>
      <w:r>
        <w:rPr>
          <w:rFonts w:hint="eastAsia"/>
        </w:rPr>
        <w:t>冷凝计算界面温度</w:t>
      </w:r>
      <w:r>
        <w:rPr>
          <w:position w:val="-6"/>
        </w:rPr>
        <w:pict>
          <v:shape id="_x0000_i1093" o:spt="75" type="#_x0000_t75" style="height:13.8pt;width:13.8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bookmarkEnd w:id="63"/>
    </w:p>
    <w:p>
      <w:pPr>
        <w:jc w:val="center"/>
      </w:pPr>
      <w:r>
        <w:pict>
          <v:shape id="_x0000_i1094" o:spt="75" type="#_x0000_t75" style="height:33pt;width:111.6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95" o:spt="75" type="#_x0000_t75" style="height:13.8pt;width:13.8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2.92</w:t>
      </w:r>
    </w:p>
    <w:p>
      <w:pPr>
        <w:pStyle w:val="5"/>
        <w:ind w:right="1470"/>
      </w:pPr>
      <w:bookmarkStart w:id="64" w:name="_Toc87461392"/>
      <w:r>
        <w:rPr>
          <w:rStyle w:val="32"/>
          <w:rFonts w:hint="eastAsia"/>
          <w:b/>
          <w:bCs w:val="0"/>
        </w:rPr>
        <w:t>围护结构冷凝受潮验算</w:t>
      </w:r>
      <w:bookmarkEnd w:id="64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96" o:spt="75" type="#_x0000_t75" style="height:13.8pt;width:20.4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097" o:spt="75" type="#_x0000_t75" style="height:13.8pt;width:20.4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99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0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1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15296.64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02" o:spt="75" type="#_x0000_t75" style="height:13.8pt;width:21.6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3" o:spt="75" type="#_x0000_t75" style="height:13.8pt;width:21.6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4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5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6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7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952.38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08" o:spt="75" type="#_x0000_t75" style="height:13.8pt;width:13.8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9" o:spt="75" type="#_x0000_t75" style="height:13.8pt;width:13.8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10" o:spt="75" type="#_x0000_t75" style="height:13.8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11" o:spt="75" type="#_x0000_t75" style="height:13.8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354.55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12" o:spt="75" type="#_x0000_t75" style="height:13.8pt;width:20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13" o:spt="75" type="#_x0000_t75" style="height:13.8pt;width:20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14" o:spt="75" type="#_x0000_t75" style="height:13.8pt;width:13.8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752.93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pict>
                <v:shape id="_x0000_i1115" o:spt="75" type="#_x0000_t75" style="height:13.2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16" o:spt="75" type="#_x0000_t75" style="height:13.2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28.50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pict>
                <v:shape id="_x0000_i1117" o:spt="75" type="#_x0000_t75" style="height:13.8pt;width:13.2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pict>
                <v:shape id="_x0000_i1118" o:spt="75" type="#_x0000_t75" style="height:13.8pt;width:13.2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0.02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pict>
                <v:shape id="_x0000_i1119" o:spt="75" type="#_x0000_t75" style="height:43.8pt;width:142.2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20" o:spt="75" type="#_x0000_t75" style="height:16.2pt;width:24.6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>
      <w:pPr>
        <w:widowControl/>
        <w:jc w:val="left"/>
      </w:pPr>
    </w:p>
    <w:p>
      <w:pPr>
        <w:pStyle w:val="4"/>
        <w:spacing w:line="240" w:lineRule="atLeast"/>
        <w:rPr>
          <w:kern w:val="2"/>
        </w:rPr>
      </w:pPr>
      <w:bookmarkStart w:id="65" w:name="构造ID"/>
      <w:bookmarkStart w:id="66" w:name="_Toc87461393"/>
      <w:bookmarkStart w:id="67" w:name="DataTab"/>
      <w:r>
        <w:rPr>
          <w:rFonts w:hint="eastAsia"/>
          <w:kern w:val="2"/>
        </w:rPr>
        <w:t>外-挤塑聚苯板20+钢筋砼200</w:t>
      </w:r>
      <w:bookmarkEnd w:id="65"/>
      <w:bookmarkEnd w:id="66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bookmarkStart w:id="68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挤塑聚苯板(ρ=25-32)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671" w:type="dxa"/>
            <w:vAlign w:val="center"/>
          </w:tcPr>
          <w:p>
            <w:r>
              <w:t>1.20</w:t>
            </w:r>
          </w:p>
        </w:tc>
        <w:tc>
          <w:tcPr>
            <w:tcW w:w="992" w:type="dxa"/>
            <w:vAlign w:val="center"/>
          </w:tcPr>
          <w:p>
            <w:r>
              <w:t>28.50</w:t>
            </w:r>
          </w:p>
        </w:tc>
        <w:tc>
          <w:tcPr>
            <w:tcW w:w="1559" w:type="dxa"/>
            <w:vAlign w:val="center"/>
          </w:tcPr>
          <w:p>
            <w:r>
              <w:t>0.0162</w:t>
            </w:r>
          </w:p>
        </w:tc>
        <w:tc>
          <w:tcPr>
            <w:tcW w:w="993" w:type="dxa"/>
            <w:vAlign w:val="center"/>
          </w:tcPr>
          <w:p>
            <w:r>
              <w:t>0.556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0.115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1600.00</w:t>
            </w:r>
          </w:p>
        </w:tc>
        <w:tc>
          <w:tcPr>
            <w:tcW w:w="1559" w:type="dxa"/>
            <w:vAlign w:val="center"/>
          </w:tcPr>
          <w:p>
            <w:r>
              <w:t>0.0443</w:t>
            </w:r>
          </w:p>
        </w:tc>
        <w:tc>
          <w:tcPr>
            <w:tcW w:w="993" w:type="dxa"/>
            <w:vAlign w:val="center"/>
          </w:tcPr>
          <w:p>
            <w:r>
              <w:t>0.025</w:t>
            </w:r>
          </w:p>
        </w:tc>
      </w:tr>
      <w:bookmarkEnd w:id="68"/>
    </w:tbl>
    <w:p>
      <w:pPr>
        <w:pStyle w:val="3"/>
        <w:ind w:left="1470" w:right="1470"/>
      </w:pPr>
    </w:p>
    <w:p>
      <w:pPr>
        <w:pStyle w:val="5"/>
      </w:pPr>
      <w:bookmarkStart w:id="69" w:name="_Toc87461394"/>
      <w:r>
        <w:rPr>
          <w:rFonts w:hint="eastAsia"/>
        </w:rPr>
        <w:t>冷凝计算界面至围护结构内表面之间的热阻</w:t>
      </w:r>
      <w:r>
        <w:pict>
          <v:shape id="_x0000_i1121" o:spt="75" type="#_x0000_t75" style="height:13.8pt;width:18.6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bookmarkEnd w:id="69"/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122" o:spt="75" type="#_x0000_t75" style="height:13.8pt;width:18.6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bookmarkStart w:id="70" w:name="R_o_i"/>
      <w:r>
        <w:rPr>
          <w:rFonts w:hint="eastAsia"/>
        </w:rPr>
        <w:t>0.72</w:t>
      </w:r>
      <w:bookmarkEnd w:id="70"/>
    </w:p>
    <w:p>
      <w:pPr>
        <w:pStyle w:val="5"/>
        <w:ind w:right="1470"/>
      </w:pPr>
      <w:bookmarkStart w:id="71" w:name="_Toc87461395"/>
      <w:r>
        <w:rPr>
          <w:rFonts w:hint="eastAsia"/>
        </w:rPr>
        <w:t>冷凝计算界面温度</w:t>
      </w:r>
      <w:r>
        <w:rPr>
          <w:position w:val="-6"/>
        </w:rPr>
        <w:pict>
          <v:shape id="_x0000_i1123" o:spt="75" type="#_x0000_t75" style="height:13.8pt;width:13.8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bookmarkEnd w:id="71"/>
    </w:p>
    <w:p>
      <w:pPr>
        <w:jc w:val="center"/>
      </w:pPr>
      <w:r>
        <w:pict>
          <v:shape id="_x0000_i1124" o:spt="75" type="#_x0000_t75" style="height:33pt;width:111.6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125" o:spt="75" type="#_x0000_t75" style="height:13.8pt;width:13.8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>=</w:t>
      </w:r>
      <w:bookmarkStart w:id="72" w:name="θ_c"/>
      <w:r>
        <w:rPr>
          <w:rFonts w:hint="eastAsia"/>
        </w:rPr>
        <w:t>2.92</w:t>
      </w:r>
      <w:bookmarkEnd w:id="72"/>
    </w:p>
    <w:p>
      <w:pPr>
        <w:pStyle w:val="5"/>
        <w:ind w:right="1470"/>
      </w:pPr>
      <w:bookmarkStart w:id="73" w:name="_Toc87461396"/>
      <w:r>
        <w:rPr>
          <w:rStyle w:val="32"/>
          <w:rFonts w:hint="eastAsia"/>
          <w:b/>
          <w:bCs w:val="0"/>
        </w:rPr>
        <w:t>围护结构冷凝受潮验算</w:t>
      </w:r>
      <w:bookmarkEnd w:id="73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126" o:spt="75" type="#_x0000_t75" style="height:13.8pt;width:20.4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27" o:spt="75" type="#_x0000_t75" style="height:13.8pt;width:20.4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8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9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30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31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4" w:name="H_o_i"/>
            <w:r>
              <w:rPr>
                <w:rFonts w:hint="eastAsia"/>
              </w:rPr>
              <w:t>15296.64</w:t>
            </w:r>
            <w:bookmarkEnd w:id="74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32" o:spt="75" type="#_x0000_t75" style="height:13.8pt;width:21.6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33" o:spt="75" type="#_x0000_t75" style="height:13.8pt;width:21.6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34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35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36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37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5" w:name="H_o_e"/>
            <w:r>
              <w:rPr>
                <w:rFonts w:hint="eastAsia"/>
              </w:rPr>
              <w:t>952.38</w:t>
            </w:r>
            <w:bookmarkEnd w:id="75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38" o:spt="75" type="#_x0000_t75" style="height:13.8pt;width:13.8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39" o:spt="75" type="#_x0000_t75" style="height:13.8pt;width:13.8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6" w:name="Pi"/>
            <w:r>
              <w:rPr>
                <w:rFonts w:hint="eastAsia"/>
              </w:rPr>
              <w:t>1237.20</w:t>
            </w:r>
            <w:bookmarkEnd w:id="76"/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40" o:spt="75" type="#_x0000_t75" style="height:13.8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41" o:spt="75" type="#_x0000_t75" style="height:13.8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7" w:name="Pe"/>
            <w:r>
              <w:rPr>
                <w:rFonts w:hint="eastAsia"/>
              </w:rPr>
              <w:t>354.55</w:t>
            </w:r>
            <w:bookmarkEnd w:id="77"/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42" o:spt="75" type="#_x0000_t75" style="height:13.8pt;width:20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43" o:spt="75" type="#_x0000_t75" style="height:13.8pt;width:20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44" o:spt="75" type="#_x0000_t75" style="height:13.8pt;width:13.8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8" w:name="Psc"/>
            <w:r>
              <w:rPr>
                <w:rFonts w:hint="eastAsia"/>
              </w:rPr>
              <w:t>752.93</w:t>
            </w:r>
            <w:bookmarkEnd w:id="78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pict>
                <v:shape id="_x0000_i1145" o:spt="75" type="#_x0000_t75" style="height:13.2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46" o:spt="75" type="#_x0000_t75" style="height:13.2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9" w:name="ρ"/>
            <w:r>
              <w:rPr>
                <w:rFonts w:hint="eastAsia"/>
              </w:rPr>
              <w:t>28.50</w:t>
            </w:r>
            <w:bookmarkEnd w:id="79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pict>
                <v:shape id="_x0000_i1147" o:spt="75" type="#_x0000_t75" style="height:13.8pt;width:13.2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pict>
                <v:shape id="_x0000_i1148" o:spt="75" type="#_x0000_t75" style="height:13.8pt;width:13.2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80" w:name="δi"/>
            <w:r>
              <w:rPr>
                <w:rFonts w:hint="eastAsia"/>
              </w:rPr>
              <w:t>0.02</w:t>
            </w:r>
            <w:bookmarkEnd w:id="80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pict>
                <v:shape id="_x0000_i1149" o:spt="75" type="#_x0000_t75" style="height:43.8pt;width:142.2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50" o:spt="75" type="#_x0000_t75" style="height:16.2pt;width:24.6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81" w:name="ω_l"/>
            <w:r>
              <w:rPr>
                <w:rFonts w:hint="eastAsia"/>
              </w:rPr>
              <w:t>0.00</w:t>
            </w:r>
            <w:bookmarkEnd w:id="81"/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82" w:name="ω"/>
            <w:r>
              <w:rPr>
                <w:rFonts w:hint="eastAsia"/>
              </w:rPr>
              <w:t>10.00</w:t>
            </w:r>
            <w:bookmarkEnd w:id="82"/>
          </w:p>
        </w:tc>
      </w:tr>
    </w:tbl>
    <w:p>
      <w:pPr>
        <w:widowControl/>
        <w:jc w:val="left"/>
      </w:pPr>
    </w:p>
    <w:bookmarkEnd w:id="67"/>
    <w:p>
      <w:pPr>
        <w:pStyle w:val="2"/>
      </w:pPr>
      <w:bookmarkStart w:id="83" w:name="_Toc87461397"/>
      <w:r>
        <w:t>验算结论</w:t>
      </w:r>
      <w:bookmarkEnd w:id="83"/>
    </w:p>
    <w:tbl>
      <w:tblPr>
        <w:tblStyle w:val="20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3113"/>
        <w:gridCol w:w="1811"/>
        <w:gridCol w:w="1811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shd w:val="clear" w:color="auto" w:fill="DEDEDE"/>
            <w:vAlign w:val="center"/>
          </w:tcPr>
          <w:p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>
            <w:r>
              <w:t>增量限值(%)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>
            <w:r>
              <w:t>实际增量(%)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center"/>
          </w:tcPr>
          <w:p>
            <w:r>
              <w:t>屋顶</w:t>
            </w:r>
          </w:p>
        </w:tc>
        <w:tc>
          <w:tcPr>
            <w:tcW w:w="3112" w:type="dxa"/>
            <w:vAlign w:val="center"/>
          </w:tcPr>
          <w:p>
            <w:r>
              <w:t>挤塑聚苯板20+加气砼80＋钢筋砼120</w:t>
            </w:r>
          </w:p>
        </w:tc>
        <w:tc>
          <w:tcPr>
            <w:tcW w:w="1811" w:type="dxa"/>
            <w:vAlign w:val="center"/>
          </w:tcPr>
          <w:p>
            <w:r>
              <w:t>10</w:t>
            </w:r>
          </w:p>
        </w:tc>
        <w:tc>
          <w:tcPr>
            <w:tcW w:w="1811" w:type="dxa"/>
            <w:vAlign w:val="center"/>
          </w:tcPr>
          <w:p>
            <w:r>
              <w:t>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center"/>
          </w:tcPr>
          <w:p>
            <w:r>
              <w:t>外墙</w:t>
            </w:r>
          </w:p>
        </w:tc>
        <w:tc>
          <w:tcPr>
            <w:tcW w:w="3112" w:type="dxa"/>
            <w:vAlign w:val="center"/>
          </w:tcPr>
          <w:p>
            <w:r>
              <w:t>外-挤塑聚苯板20+钢筋砼200</w:t>
            </w:r>
          </w:p>
        </w:tc>
        <w:tc>
          <w:tcPr>
            <w:tcW w:w="1811" w:type="dxa"/>
            <w:vAlign w:val="center"/>
          </w:tcPr>
          <w:p>
            <w:r>
              <w:t>10</w:t>
            </w:r>
          </w:p>
        </w:tc>
        <w:tc>
          <w:tcPr>
            <w:tcW w:w="1811" w:type="dxa"/>
            <w:vAlign w:val="center"/>
          </w:tcPr>
          <w:p>
            <w:r>
              <w:t>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center"/>
          </w:tcPr>
          <w:p>
            <w:r>
              <w:t>阳台隔墙</w:t>
            </w:r>
          </w:p>
        </w:tc>
        <w:tc>
          <w:tcPr>
            <w:tcW w:w="3112" w:type="dxa"/>
            <w:vAlign w:val="center"/>
          </w:tcPr>
          <w:p>
            <w:r>
              <w:t>外-挤塑聚苯板20+钢筋砼200</w:t>
            </w:r>
          </w:p>
        </w:tc>
        <w:tc>
          <w:tcPr>
            <w:tcW w:w="1811" w:type="dxa"/>
            <w:vAlign w:val="center"/>
          </w:tcPr>
          <w:p>
            <w:r>
              <w:t>10</w:t>
            </w:r>
          </w:p>
        </w:tc>
        <w:tc>
          <w:tcPr>
            <w:tcW w:w="1811" w:type="dxa"/>
            <w:vAlign w:val="center"/>
          </w:tcPr>
          <w:p>
            <w:r>
              <w:t>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</w:tbl>
    <w:p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both"/>
    </w:pPr>
    <w:r>
      <w:drawing>
        <wp:inline distT="0" distB="0" distL="0" distR="0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图片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3C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D74BF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333C"/>
    <w:rsid w:val="00B8711B"/>
    <w:rsid w:val="00B970F9"/>
    <w:rsid w:val="00BA0784"/>
    <w:rsid w:val="00BA0B17"/>
    <w:rsid w:val="00BA56E7"/>
    <w:rsid w:val="00BB776D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7656E"/>
    <w:rsid w:val="00D772A9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  <w:rsid w:val="3839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qFormat/>
    <w:uiPriority w:val="39"/>
    <w:pPr>
      <w:ind w:left="840" w:leftChars="400"/>
    </w:pPr>
  </w:style>
  <w:style w:type="paragraph" w:styleId="14">
    <w:name w:val="Balloon Text"/>
    <w:basedOn w:val="1"/>
    <w:link w:val="42"/>
    <w:qFormat/>
    <w:uiPriority w:val="0"/>
    <w:rPr>
      <w:sz w:val="18"/>
      <w:szCs w:val="18"/>
    </w:rPr>
  </w:style>
  <w:style w:type="paragraph" w:styleId="15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rPr>
      <w:b/>
    </w:rPr>
  </w:style>
  <w:style w:type="paragraph" w:styleId="18">
    <w:name w:val="toc 2"/>
    <w:basedOn w:val="1"/>
    <w:next w:val="1"/>
    <w:qFormat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qFormat/>
    <w:uiPriority w:val="0"/>
  </w:style>
  <w:style w:type="character" w:styleId="24">
    <w:name w:val="Hyperlink"/>
    <w:unhideWhenUsed/>
    <w:qFormat/>
    <w:uiPriority w:val="99"/>
    <w:rPr>
      <w:color w:val="0563C1"/>
      <w:u w:val="single"/>
    </w:rPr>
  </w:style>
  <w:style w:type="character" w:customStyle="1" w:styleId="25">
    <w:name w:val="页眉 字符1"/>
    <w:link w:val="16"/>
    <w:uiPriority w:val="0"/>
    <w:rPr>
      <w:kern w:val="2"/>
      <w:sz w:val="18"/>
      <w:szCs w:val="18"/>
    </w:rPr>
  </w:style>
  <w:style w:type="character" w:customStyle="1" w:styleId="26">
    <w:name w:val="页脚 字符1"/>
    <w:link w:val="15"/>
    <w:uiPriority w:val="99"/>
    <w:rPr>
      <w:kern w:val="2"/>
      <w:sz w:val="18"/>
      <w:szCs w:val="18"/>
    </w:rPr>
  </w:style>
  <w:style w:type="character" w:customStyle="1" w:styleId="27">
    <w:name w:val="页眉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字符"/>
    <w:link w:val="19"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uiPriority w:val="0"/>
    <w:rPr>
      <w:b/>
      <w:bCs/>
      <w:kern w:val="44"/>
      <w:sz w:val="44"/>
      <w:szCs w:val="44"/>
    </w:rPr>
  </w:style>
  <w:style w:type="character" w:customStyle="1" w:styleId="31">
    <w:name w:val="标题 2 字符1"/>
    <w:link w:val="4"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字符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字符"/>
    <w:link w:val="6"/>
    <w:uiPriority w:val="0"/>
    <w:rPr>
      <w:b/>
      <w:bCs/>
      <w:sz w:val="21"/>
      <w:szCs w:val="28"/>
      <w:lang w:val="en-GB"/>
    </w:rPr>
  </w:style>
  <w:style w:type="character" w:customStyle="1" w:styleId="34">
    <w:name w:val="标题 5 字符"/>
    <w:link w:val="7"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字符"/>
    <w:link w:val="8"/>
    <w:uiPriority w:val="0"/>
    <w:rPr>
      <w:b/>
      <w:bCs/>
      <w:sz w:val="21"/>
      <w:szCs w:val="22"/>
      <w:lang w:val="en-GB"/>
    </w:rPr>
  </w:style>
  <w:style w:type="character" w:customStyle="1" w:styleId="36">
    <w:name w:val="标题 7 字符"/>
    <w:link w:val="9"/>
    <w:uiPriority w:val="0"/>
    <w:rPr>
      <w:sz w:val="24"/>
      <w:szCs w:val="24"/>
      <w:lang w:val="en-GB"/>
    </w:rPr>
  </w:style>
  <w:style w:type="character" w:customStyle="1" w:styleId="37">
    <w:name w:val="标题 8 字符"/>
    <w:link w:val="10"/>
    <w:uiPriority w:val="0"/>
    <w:rPr>
      <w:i/>
      <w:iCs/>
      <w:sz w:val="24"/>
      <w:szCs w:val="24"/>
      <w:lang w:val="en-GB"/>
    </w:rPr>
  </w:style>
  <w:style w:type="character" w:customStyle="1" w:styleId="38">
    <w:name w:val="标题 9 字符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字符"/>
    <w:link w:val="2"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qFormat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字符"/>
    <w:link w:val="14"/>
    <w:qFormat/>
    <w:uiPriority w:val="0"/>
    <w:rPr>
      <w:kern w:val="2"/>
      <w:sz w:val="18"/>
      <w:szCs w:val="18"/>
    </w:rPr>
  </w:style>
  <w:style w:type="character" w:styleId="43">
    <w:name w:val="Placeholder Text"/>
    <w:semiHidden/>
    <w:qFormat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9" Type="http://schemas.openxmlformats.org/officeDocument/2006/relationships/fontTable" Target="fontTable.xml"/><Relationship Id="rId78" Type="http://schemas.openxmlformats.org/officeDocument/2006/relationships/customXml" Target="../customXml/item2.xml"/><Relationship Id="rId77" Type="http://schemas.openxmlformats.org/officeDocument/2006/relationships/numbering" Target="numbering.xml"/><Relationship Id="rId76" Type="http://schemas.openxmlformats.org/officeDocument/2006/relationships/customXml" Target="../customXml/item1.xml"/><Relationship Id="rId75" Type="http://schemas.openxmlformats.org/officeDocument/2006/relationships/oleObject" Target="embeddings/oleObject44.bin"/><Relationship Id="rId74" Type="http://schemas.openxmlformats.org/officeDocument/2006/relationships/oleObject" Target="embeddings/oleObject43.bin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png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oleObject" Target="embeddings/oleObject25.bin"/><Relationship Id="rId54" Type="http://schemas.openxmlformats.org/officeDocument/2006/relationships/oleObject" Target="embeddings/oleObject24.bin"/><Relationship Id="rId53" Type="http://schemas.openxmlformats.org/officeDocument/2006/relationships/oleObject" Target="embeddings/oleObject23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wmf"/><Relationship Id="rId17" Type="http://schemas.openxmlformats.org/officeDocument/2006/relationships/oleObject" Target="embeddings/oleObject6.bin"/><Relationship Id="rId16" Type="http://schemas.openxmlformats.org/officeDocument/2006/relationships/image" Target="media/image7.wmf"/><Relationship Id="rId15" Type="http://schemas.openxmlformats.org/officeDocument/2006/relationships/oleObject" Target="embeddings/oleObject5.bin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209\AppData\Local\Temp\tmp8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000CBD-2BB4-4C8C-B79D-CC4AFF803B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tmp8.dotx</Template>
  <Pages>8</Pages>
  <Words>1009</Words>
  <Characters>5756</Characters>
  <Lines>47</Lines>
  <Paragraphs>13</Paragraphs>
  <TotalTime>0</TotalTime>
  <ScaleCrop>false</ScaleCrop>
  <LinksUpToDate>false</LinksUpToDate>
  <CharactersWithSpaces>6752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2021-11-10T10:29:00Z</dcterms:created>
  <dc:creator>23209</dc:creator>
  <cp:lastModifiedBy>Reli </cp:lastModifiedBy>
  <dcterms:modified xsi:type="dcterms:W3CDTF">2021-11-11T09:10:01Z</dcterms:modified>
  <dc:title>防潮验算计算书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2052-11.1.0.11045</vt:lpwstr>
  </property>
  <property fmtid="{D5CDD505-2E9C-101B-9397-08002B2CF9AE}" pid="4" name="ICV">
    <vt:lpwstr>F3228812564548B488F58F3B33E50A65</vt:lpwstr>
  </property>
</Properties>
</file>