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r>
              <w:rPr>
                <w:rFonts w:hint="eastAsia" w:ascii="宋体" w:hAnsi="宋体"/>
                <w:sz w:val="21"/>
                <w:szCs w:val="21"/>
                <w:lang w:val="en-US" w:eastAsia="zh-CN"/>
              </w:rPr>
              <w:t>“如意”千秋苑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山东-泰安</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5" w:name="报告日期"/>
            <w:r>
              <w:rPr>
                <w:rFonts w:hint="eastAsia" w:ascii="宋体" w:hAnsi="宋体"/>
                <w:szCs w:val="21"/>
              </w:rPr>
              <w:t>2021年11月11日</w:t>
            </w:r>
            <w:bookmarkEnd w:id="5"/>
          </w:p>
        </w:tc>
      </w:tr>
    </w:tbl>
    <w:p>
      <w:pPr>
        <w:jc w:val="center"/>
        <w:rPr>
          <w:rFonts w:ascii="宋体" w:hAnsi="宋体"/>
          <w:szCs w:val="18"/>
          <w:lang w:val="en-US"/>
        </w:rPr>
      </w:pPr>
    </w:p>
    <w:p>
      <w:pPr>
        <w:jc w:val="center"/>
        <w:rPr>
          <w:rFonts w:ascii="宋体" w:hAnsi="宋体"/>
          <w:bCs/>
          <w:szCs w:val="18"/>
        </w:rPr>
      </w:pPr>
      <w:bookmarkStart w:id="6" w:name="二维码"/>
      <w:bookmarkEnd w:id="6"/>
      <w:r>
        <w:drawing>
          <wp:inline distT="0" distB="0" distL="0" distR="0">
            <wp:extent cx="1514475" cy="1514475"/>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t>斯维尔节能设计BECS2020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20210101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T15705327077</w:t>
            </w:r>
            <w:bookmarkEnd w:id="9"/>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0" w:name="_Toc316568035"/>
      <w:r>
        <w:rPr>
          <w:rFonts w:hint="eastAsia"/>
        </w:rPr>
        <w:t>建筑概况</w:t>
      </w:r>
      <w:bookmarkEnd w:id="10"/>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1" w:name="工程名称"/>
            <w:r>
              <w:t>新建项目</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2" w:name="工程地点"/>
            <w:r>
              <w:t>山东-泰安</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3" w:name="气候分区"/>
            <w:r>
              <w:t>寒冷A区</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4" w:name="地上建筑面积"/>
            <w:r>
              <w:rPr>
                <w:rFonts w:hint="eastAsia" w:ascii="宋体" w:hAnsi="宋体"/>
                <w:lang w:val="en-US"/>
              </w:rPr>
              <w:t>8268</w:t>
            </w:r>
            <w:bookmarkEnd w:id="14"/>
            <w:r>
              <w:rPr>
                <w:rFonts w:hint="eastAsia" w:ascii="宋体" w:hAnsi="宋体"/>
              </w:rPr>
              <w:t>㎡</w:t>
            </w:r>
            <w:r>
              <w:rPr>
                <w:rFonts w:hint="eastAsia" w:ascii="宋体" w:hAnsi="宋体"/>
                <w:lang w:val="en-US"/>
              </w:rPr>
              <w:t xml:space="preserve">    地下</w:t>
            </w:r>
            <w:bookmarkStart w:id="15" w:name="地下建筑面积"/>
            <w:r>
              <w:rPr>
                <w:rFonts w:hint="eastAsia" w:ascii="宋体" w:hAnsi="宋体"/>
                <w:lang w:val="en-US"/>
              </w:rPr>
              <w:t>0</w:t>
            </w:r>
            <w:bookmarkEnd w:id="15"/>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6" w:name="地上建筑层数"/>
            <w:r>
              <w:rPr>
                <w:rFonts w:hint="eastAsia" w:ascii="宋体" w:hAnsi="宋体"/>
                <w:lang w:val="en-US"/>
              </w:rPr>
              <w:t>15</w:t>
            </w:r>
            <w:bookmarkEnd w:id="16"/>
            <w:r>
              <w:rPr>
                <w:rFonts w:hint="eastAsia" w:ascii="宋体" w:hAnsi="宋体"/>
                <w:lang w:val="en-US"/>
              </w:rPr>
              <w:t xml:space="preserve">          地下</w:t>
            </w:r>
            <w:bookmarkStart w:id="17" w:name="地下建筑层数"/>
            <w:r>
              <w:t>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8" w:name="地上建筑高度"/>
            <w:r>
              <w:rPr>
                <w:rFonts w:hint="eastAsia" w:ascii="宋体" w:hAnsi="宋体"/>
                <w:lang w:val="en-US"/>
              </w:rPr>
              <w:t>45.0</w:t>
            </w:r>
            <w:bookmarkEnd w:id="18"/>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19" w:name="结构类型"/>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0" w:name="累年最低日平均温度"/>
            <w:r>
              <w:t>-10.5</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1" w:name="采暖期室外计算温度"/>
            <w:r>
              <w:t>-5.2</w:t>
            </w:r>
            <w:bookmarkEnd w:id="21"/>
          </w:p>
        </w:tc>
      </w:tr>
    </w:tbl>
    <w:p>
      <w:pPr>
        <w:pStyle w:val="2"/>
      </w:pPr>
      <w:bookmarkStart w:id="22" w:name="_Toc316568036"/>
      <w:bookmarkStart w:id="23" w:name="TitleFormat"/>
      <w:r>
        <w:rPr>
          <w:rFonts w:hint="eastAsia"/>
        </w:rPr>
        <w:t>评价依据</w:t>
      </w:r>
      <w:bookmarkEnd w:id="22"/>
    </w:p>
    <w:bookmarkEnd w:id="23"/>
    <w:p>
      <w:pPr>
        <w:widowControl w:val="0"/>
        <w:jc w:val="both"/>
        <w:rPr>
          <w:kern w:val="2"/>
          <w:szCs w:val="24"/>
          <w:lang w:val="en-US"/>
        </w:rPr>
      </w:pPr>
      <w:r>
        <w:rPr>
          <w:rFonts w:hint="eastAsia"/>
          <w:kern w:val="2"/>
          <w:szCs w:val="24"/>
          <w:lang w:val="en-US"/>
        </w:rPr>
        <w:t xml:space="preserve">1. </w:t>
      </w:r>
      <w:bookmarkStart w:id="24" w:name="标准名称"/>
      <w:r>
        <w:rPr>
          <w:rFonts w:hint="eastAsia"/>
          <w:kern w:val="2"/>
          <w:szCs w:val="24"/>
          <w:lang w:val="en-US"/>
        </w:rPr>
        <w:t>《山东省居住建筑节能设计标准》(DBJ 14-037-2012)</w:t>
      </w:r>
      <w:bookmarkEnd w:id="24"/>
    </w:p>
    <w:p>
      <w:pPr>
        <w:widowControl w:val="0"/>
        <w:jc w:val="both"/>
        <w:rPr>
          <w:kern w:val="2"/>
          <w:szCs w:val="24"/>
          <w:lang w:val="en-US"/>
        </w:rPr>
      </w:pPr>
      <w:r>
        <w:rPr>
          <w:rFonts w:hint="eastAsia"/>
          <w:kern w:val="2"/>
          <w:szCs w:val="24"/>
          <w:lang w:val="en-US"/>
        </w:rPr>
        <w:t>2. 《民用建筑热工设计规范》(GB50176)</w:t>
      </w:r>
    </w:p>
    <w:p>
      <w:pPr>
        <w:widowControl w:val="0"/>
        <w:jc w:val="both"/>
        <w:rPr>
          <w:kern w:val="2"/>
          <w:lang w:val="en-US"/>
        </w:rPr>
      </w:pPr>
      <w:r>
        <w:rPr>
          <w:rFonts w:hint="eastAsia"/>
          <w:kern w:val="2"/>
          <w:szCs w:val="24"/>
          <w:lang w:val="en-US"/>
        </w:rPr>
        <w:t>3. 《绿色建筑评价标准》</w:t>
      </w:r>
      <w:r>
        <w:rPr>
          <w:kern w:val="2"/>
          <w:szCs w:val="24"/>
          <w:lang w:val="en-US"/>
        </w:rPr>
        <w:t xml:space="preserve"> GB/T 50378</w:t>
      </w:r>
    </w:p>
    <w:p>
      <w:pPr>
        <w:widowControl w:val="0"/>
        <w:jc w:val="both"/>
        <w:rPr>
          <w:kern w:val="2"/>
          <w:lang w:val="en-US"/>
        </w:rPr>
      </w:pPr>
      <w:r>
        <w:rPr>
          <w:rFonts w:hint="eastAsia"/>
          <w:kern w:val="2"/>
          <w:szCs w:val="24"/>
          <w:lang w:val="en-US"/>
        </w:rPr>
        <w:t>4. 《绿色建筑评价技术细则（试行）》</w:t>
      </w:r>
    </w:p>
    <w:p>
      <w:pPr>
        <w:widowControl w:val="0"/>
        <w:jc w:val="both"/>
        <w:rPr>
          <w:kern w:val="2"/>
          <w:lang w:val="en-US"/>
        </w:rPr>
      </w:pPr>
      <w:r>
        <w:rPr>
          <w:rFonts w:hint="eastAsia"/>
          <w:kern w:val="2"/>
          <w:szCs w:val="24"/>
          <w:lang w:val="en-US"/>
        </w:rPr>
        <w:t>5.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依据《民用建筑热工设计规范》</w:t>
      </w:r>
      <w:r>
        <w:rPr>
          <w:rFonts w:hint="eastAsia" w:ascii="宋体" w:hAnsi="宋体"/>
          <w:kern w:val="2"/>
          <w:szCs w:val="21"/>
          <w:lang w:val="en-US"/>
        </w:rPr>
        <w:t>(GB50176)的要求和规定：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cs="宋体"/>
          <w:b/>
        </w:rPr>
        <w:t xml:space="preserve">4.2.11 </w:t>
      </w:r>
      <w:r>
        <w:rPr>
          <w:rFonts w:cs="宋体"/>
        </w:rPr>
        <w:t xml:space="preserve"> </w:t>
      </w:r>
      <w:r>
        <w:rPr>
          <w:rFonts w:hint="eastAsia" w:cs="宋体"/>
        </w:rPr>
        <w:t>围护结构中的热桥部位应进行表面结露验算，并应采取保温措施，确保热桥内表面温度高 于房间空气露点温度。</w:t>
      </w:r>
    </w:p>
    <w:p>
      <w:pPr>
        <w:autoSpaceDE w:val="0"/>
        <w:autoSpaceDN w:val="0"/>
        <w:adjustRightInd w:val="0"/>
        <w:spacing w:line="350" w:lineRule="atLeast"/>
        <w:ind w:firstLine="210"/>
        <w:rPr>
          <w:rFonts w:cs="宋体"/>
        </w:rPr>
      </w:pPr>
      <w:r>
        <w:rPr>
          <w:rFonts w:cs="宋体"/>
          <w:b/>
        </w:rPr>
        <w:t xml:space="preserve">4.2.12 </w:t>
      </w:r>
      <w:r>
        <w:rPr>
          <w:rFonts w:cs="宋体"/>
        </w:rPr>
        <w:t xml:space="preserve"> </w:t>
      </w:r>
      <w:r>
        <w:rPr>
          <w:rFonts w:hint="eastAsia" w:cs="宋体"/>
        </w:rPr>
        <w:t>围护结构热桥部位的表面结露验算应符合本规范第</w:t>
      </w:r>
      <w:r>
        <w:rPr>
          <w:rFonts w:cs="宋体"/>
        </w:rPr>
        <w:t>7.2</w:t>
      </w:r>
      <w:r>
        <w:rPr>
          <w:rFonts w:hint="eastAsia" w:cs="宋体"/>
        </w:rPr>
        <w:t>节的规定。</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依据建筑屋面和外墙热桥部分的内表面温度计算，判断是否符合《绿色</w:t>
      </w:r>
      <w:r>
        <w:rPr>
          <w:rFonts w:hint="eastAsia" w:ascii="宋体" w:hAnsi="宋体"/>
          <w:kern w:val="2"/>
          <w:szCs w:val="21"/>
          <w:lang w:val="en-US"/>
        </w:rPr>
        <w:t>建筑评价标准》GB/T</w:t>
      </w:r>
      <w:r>
        <w:rPr>
          <w:rFonts w:ascii="宋体" w:hAnsi="宋体"/>
          <w:kern w:val="2"/>
          <w:szCs w:val="21"/>
          <w:lang w:val="en-US"/>
        </w:rPr>
        <w:t xml:space="preserve"> 50378</w:t>
      </w:r>
      <w:r>
        <w:rPr>
          <w:rFonts w:hint="eastAsia" w:ascii="宋体" w:hAnsi="宋体"/>
          <w:kern w:val="2"/>
          <w:szCs w:val="21"/>
          <w:lang w:val="en-US"/>
        </w:rPr>
        <w:t>“围护结构的内表面在室内设计温、湿度条件下无结露现象”的要求。</w:t>
      </w:r>
    </w:p>
    <w:p>
      <w:pPr>
        <w:pStyle w:val="4"/>
        <w:rPr>
          <w:kern w:val="2"/>
        </w:rPr>
      </w:pPr>
      <w:r>
        <w:rPr>
          <w:rFonts w:hint="eastAsia"/>
          <w:kern w:val="2"/>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的不同，依据《民用建筑热工设计规范》</w:t>
      </w:r>
      <w:r>
        <w:rPr>
          <w:rFonts w:hint="eastAsia" w:cs="宋体"/>
        </w:rPr>
        <w:t>(GB50176)第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7" o:spt="75" type="#_x0000_t75" style="height:12pt;width:30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2pt;width:81.6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2pt;width:81.6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2pt;width:42.6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r>
        <w:rPr>
          <w:rFonts w:ascii="宋体" w:hAnsi="宋体"/>
          <w:kern w:val="2"/>
          <w:szCs w:val="21"/>
          <w:lang w:val="en-US"/>
        </w:rPr>
        <w:t>《民用建筑热工设计规范》</w:t>
      </w:r>
      <w:r>
        <w:rPr>
          <w:rFonts w:hint="eastAsia" w:ascii="宋体" w:hAnsi="宋体"/>
          <w:kern w:val="2"/>
          <w:szCs w:val="21"/>
          <w:lang w:val="en-US"/>
        </w:rPr>
        <w:t>(GB50176)</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p>
      <w:pPr>
        <w:pStyle w:val="2"/>
        <w:autoSpaceDE w:val="0"/>
        <w:autoSpaceDN w:val="0"/>
        <w:adjustRightInd w:val="0"/>
        <w:snapToGrid w:val="0"/>
        <w:rPr>
          <w:kern w:val="2"/>
          <w:szCs w:val="21"/>
        </w:rPr>
      </w:pPr>
      <w:r>
        <w:rPr>
          <w:kern w:val="2"/>
          <w:szCs w:val="21"/>
        </w:rPr>
        <w:t>评价内容</w:t>
      </w:r>
    </w:p>
    <w:p>
      <w:pPr>
        <w:pStyle w:val="4"/>
        <w:autoSpaceDE w:val="0"/>
        <w:autoSpaceDN w:val="0"/>
        <w:adjustRightInd w:val="0"/>
        <w:snapToGrid w:val="0"/>
        <w:rPr>
          <w:kern w:val="2"/>
          <w:szCs w:val="21"/>
        </w:rPr>
      </w:pPr>
      <w:r>
        <w:rPr>
          <w:kern w:val="2"/>
          <w:szCs w:val="21"/>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地点</w:t>
            </w:r>
          </w:p>
        </w:tc>
        <w:tc>
          <w:tcPr>
            <w:tcW w:w="5207" w:type="dxa"/>
            <w:vAlign w:val="center"/>
          </w:tcPr>
          <w:p>
            <w:r>
              <w:t>山东-泰安</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ai 内表面换热系数W/(m2.K)</w:t>
            </w:r>
          </w:p>
        </w:tc>
        <w:tc>
          <w:tcPr>
            <w:tcW w:w="5207" w:type="dxa"/>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ae 外表面换热系数W/(m2.K)</w:t>
            </w:r>
          </w:p>
        </w:tc>
        <w:tc>
          <w:tcPr>
            <w:tcW w:w="5207" w:type="dxa"/>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ti 室内计算温度(℃)</w:t>
            </w:r>
          </w:p>
        </w:tc>
        <w:tc>
          <w:tcPr>
            <w:tcW w:w="5207" w:type="dxa"/>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te.min 累年最低日平均温度(℃)</w:t>
            </w:r>
          </w:p>
        </w:tc>
        <w:tc>
          <w:tcPr>
            <w:tcW w:w="5207" w:type="dxa"/>
            <w:vAlign w:val="center"/>
          </w:tcPr>
          <w:p>
            <w:r>
              <w:t>-10.50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tw 采暖室外计算温度(℃)</w:t>
            </w:r>
          </w:p>
        </w:tc>
        <w:tc>
          <w:tcPr>
            <w:tcW w:w="5207" w:type="dxa"/>
            <w:vAlign w:val="center"/>
          </w:tcPr>
          <w:p>
            <w:r>
              <w:t>-5.20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室内相对湿度 (%)</w:t>
            </w:r>
          </w:p>
        </w:tc>
        <w:tc>
          <w:tcPr>
            <w:tcW w:w="5207" w:type="dxa"/>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室内露点温度(℃)</w:t>
            </w:r>
          </w:p>
        </w:tc>
        <w:tc>
          <w:tcPr>
            <w:tcW w:w="5207" w:type="dxa"/>
            <w:vAlign w:val="center"/>
          </w:tcPr>
          <w:p>
            <w:r>
              <w:t>10.12</w:t>
            </w:r>
          </w:p>
        </w:tc>
      </w:tr>
    </w:tbl>
    <w:p>
      <w:pPr>
        <w:autoSpaceDE w:val="0"/>
        <w:autoSpaceDN w:val="0"/>
        <w:adjustRightInd w:val="0"/>
        <w:snapToGrid w:val="0"/>
        <w:rPr>
          <w:kern w:val="2"/>
          <w:szCs w:val="21"/>
          <w:lang w:val="en-US"/>
        </w:rPr>
      </w:pPr>
      <w:r>
        <w:rPr>
          <w:kern w:val="2"/>
          <w:szCs w:val="21"/>
          <w:lang w:val="en-US"/>
        </w:rPr>
        <w:t>注：气象数据参考 山东-济南.</w:t>
      </w:r>
    </w:p>
    <w:p>
      <w:pPr>
        <w:pStyle w:val="4"/>
        <w:autoSpaceDE w:val="0"/>
        <w:autoSpaceDN w:val="0"/>
        <w:adjustRightInd w:val="0"/>
        <w:snapToGrid w:val="0"/>
        <w:rPr>
          <w:kern w:val="2"/>
          <w:szCs w:val="21"/>
        </w:rPr>
      </w:pPr>
      <w:r>
        <w:rPr>
          <w:kern w:val="2"/>
          <w:szCs w:val="21"/>
        </w:rPr>
        <w:t>热桥节点图和内表面温度计算</w:t>
      </w:r>
    </w:p>
    <w:p>
      <w:pPr>
        <w:pStyle w:val="5"/>
        <w:autoSpaceDE w:val="0"/>
        <w:autoSpaceDN w:val="0"/>
        <w:adjustRightInd w:val="0"/>
        <w:snapToGrid w:val="0"/>
        <w:rPr>
          <w:kern w:val="2"/>
        </w:rPr>
      </w:pPr>
      <w:r>
        <w:rPr>
          <w:kern w:val="2"/>
        </w:rPr>
        <w:t>外墙－屋顶(WR-1)节点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100</w:t>
            </w:r>
          </w:p>
        </w:tc>
        <w:tc>
          <w:tcPr>
            <w:tcW w:w="1086" w:type="dxa"/>
            <w:vAlign w:val="center"/>
          </w:tcPr>
          <w:p>
            <w:r>
              <w:t>1.740</w:t>
            </w:r>
          </w:p>
        </w:tc>
        <w:tc>
          <w:tcPr>
            <w:tcW w:w="1120" w:type="dxa"/>
            <w:vAlign w:val="center"/>
          </w:tcPr>
          <w:p>
            <w:r>
              <w:t>17.200</w:t>
            </w:r>
          </w:p>
        </w:tc>
        <w:tc>
          <w:tcPr>
            <w:tcW w:w="1131" w:type="dxa"/>
            <w:vAlign w:val="center"/>
          </w:tcPr>
          <w:p>
            <w:r>
              <w:t>0.057</w:t>
            </w:r>
          </w:p>
        </w:tc>
        <w:tc>
          <w:tcPr>
            <w:tcW w:w="1188" w:type="dxa"/>
            <w:vAlign w:val="center"/>
          </w:tcPr>
          <w:p>
            <w:r>
              <w:t>0.989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50</w:t>
            </w:r>
          </w:p>
        </w:tc>
        <w:tc>
          <w:tcPr>
            <w:tcW w:w="1086" w:type="dxa"/>
            <w:vAlign w:val="center"/>
          </w:tcPr>
          <w:p>
            <w:r>
              <w:t>0.030</w:t>
            </w:r>
          </w:p>
        </w:tc>
        <w:tc>
          <w:tcPr>
            <w:tcW w:w="1120" w:type="dxa"/>
            <w:vAlign w:val="center"/>
          </w:tcPr>
          <w:p>
            <w:r>
              <w:t>0.320</w:t>
            </w:r>
          </w:p>
        </w:tc>
        <w:tc>
          <w:tcPr>
            <w:tcW w:w="1131" w:type="dxa"/>
            <w:vAlign w:val="center"/>
          </w:tcPr>
          <w:p>
            <w:r>
              <w:t>1.667</w:t>
            </w:r>
          </w:p>
        </w:tc>
        <w:tc>
          <w:tcPr>
            <w:tcW w:w="1188" w:type="dxa"/>
            <w:vAlign w:val="center"/>
          </w:tcPr>
          <w:p>
            <w:r>
              <w:t>0.533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te=te.min</w:t>
            </w:r>
          </w:p>
        </w:tc>
        <w:tc>
          <w:tcPr>
            <w:tcW w:w="1188" w:type="dxa"/>
            <w:vAlign w:val="center"/>
          </w:tcPr>
          <w:p>
            <w:r>
              <w:t>-10.50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-10.50.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15240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23"/>
                          <a:stretch>
                            <a:fillRect/>
                          </a:stretch>
                        </pic:blipFill>
                        <pic:spPr>
                          <a:xfrm>
                            <a:off x="0" y="0"/>
                            <a:ext cx="2962275" cy="1524000"/>
                          </a:xfrm>
                          <a:prstGeom prst="rect">
                            <a:avLst/>
                          </a:prstGeom>
                        </pic:spPr>
                      </pic:pic>
                    </a:graphicData>
                  </a:graphic>
                </wp:inline>
              </w:drawing>
            </w:r>
          </w:p>
        </w:tc>
        <w:tc>
          <w:tcPr>
            <w:tcW w:w="4663" w:type="dxa"/>
            <w:vAlign w:val="center"/>
          </w:tcPr>
          <w:p>
            <w:r>
              <w:drawing>
                <wp:inline distT="0" distB="0" distL="0" distR="0">
                  <wp:extent cx="2962275" cy="16192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4"/>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外墙－屋顶(WR-2)节点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100</w:t>
            </w:r>
          </w:p>
        </w:tc>
        <w:tc>
          <w:tcPr>
            <w:tcW w:w="1086" w:type="dxa"/>
            <w:vAlign w:val="center"/>
          </w:tcPr>
          <w:p>
            <w:r>
              <w:t>1.740</w:t>
            </w:r>
          </w:p>
        </w:tc>
        <w:tc>
          <w:tcPr>
            <w:tcW w:w="1120" w:type="dxa"/>
            <w:vAlign w:val="center"/>
          </w:tcPr>
          <w:p>
            <w:r>
              <w:t>17.200</w:t>
            </w:r>
          </w:p>
        </w:tc>
        <w:tc>
          <w:tcPr>
            <w:tcW w:w="1131" w:type="dxa"/>
            <w:vAlign w:val="center"/>
          </w:tcPr>
          <w:p>
            <w:r>
              <w:t>0.057</w:t>
            </w:r>
          </w:p>
        </w:tc>
        <w:tc>
          <w:tcPr>
            <w:tcW w:w="1188" w:type="dxa"/>
            <w:vAlign w:val="center"/>
          </w:tcPr>
          <w:p>
            <w:r>
              <w:t>0.989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50</w:t>
            </w:r>
          </w:p>
        </w:tc>
        <w:tc>
          <w:tcPr>
            <w:tcW w:w="1086" w:type="dxa"/>
            <w:vAlign w:val="center"/>
          </w:tcPr>
          <w:p>
            <w:r>
              <w:t>0.030</w:t>
            </w:r>
          </w:p>
        </w:tc>
        <w:tc>
          <w:tcPr>
            <w:tcW w:w="1120" w:type="dxa"/>
            <w:vAlign w:val="center"/>
          </w:tcPr>
          <w:p>
            <w:r>
              <w:t>0.320</w:t>
            </w:r>
          </w:p>
        </w:tc>
        <w:tc>
          <w:tcPr>
            <w:tcW w:w="1131" w:type="dxa"/>
            <w:vAlign w:val="center"/>
          </w:tcPr>
          <w:p>
            <w:r>
              <w:t>1.667</w:t>
            </w:r>
          </w:p>
        </w:tc>
        <w:tc>
          <w:tcPr>
            <w:tcW w:w="1188" w:type="dxa"/>
            <w:vAlign w:val="center"/>
          </w:tcPr>
          <w:p>
            <w:r>
              <w:t>0.533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te=te.min</w:t>
            </w:r>
          </w:p>
        </w:tc>
        <w:tc>
          <w:tcPr>
            <w:tcW w:w="1188" w:type="dxa"/>
            <w:vAlign w:val="center"/>
          </w:tcPr>
          <w:p>
            <w:r>
              <w:t>-10.50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-10.50.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527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5"/>
                          <a:stretch>
                            <a:fillRect/>
                          </a:stretch>
                        </pic:blipFill>
                        <pic:spPr>
                          <a:xfrm>
                            <a:off x="0" y="0"/>
                            <a:ext cx="2962275" cy="2952750"/>
                          </a:xfrm>
                          <a:prstGeom prst="rect">
                            <a:avLst/>
                          </a:prstGeom>
                        </pic:spPr>
                      </pic:pic>
                    </a:graphicData>
                  </a:graphic>
                </wp:inline>
              </w:drawing>
            </w:r>
          </w:p>
        </w:tc>
        <w:tc>
          <w:tcPr>
            <w:tcW w:w="4663" w:type="dxa"/>
            <w:vAlign w:val="center"/>
          </w:tcPr>
          <w:p>
            <w:r>
              <w:drawing>
                <wp:inline distT="0" distB="0" distL="0" distR="0">
                  <wp:extent cx="2962275" cy="27146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6"/>
                          <a:stretch>
                            <a:fillRect/>
                          </a:stretch>
                        </pic:blipFill>
                        <pic:spPr>
                          <a:xfrm>
                            <a:off x="0" y="0"/>
                            <a:ext cx="2962275" cy="271462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外墙－楼板(WF-1)节点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混凝土多孔砖(190六孔砖）</w:t>
            </w:r>
          </w:p>
        </w:tc>
        <w:tc>
          <w:tcPr>
            <w:tcW w:w="1018" w:type="dxa"/>
            <w:vAlign w:val="center"/>
          </w:tcPr>
          <w:p>
            <w:r>
              <w:t>200</w:t>
            </w:r>
          </w:p>
        </w:tc>
        <w:tc>
          <w:tcPr>
            <w:tcW w:w="1086" w:type="dxa"/>
            <w:vAlign w:val="center"/>
          </w:tcPr>
          <w:p>
            <w:r>
              <w:t>0.750</w:t>
            </w:r>
          </w:p>
        </w:tc>
        <w:tc>
          <w:tcPr>
            <w:tcW w:w="1120" w:type="dxa"/>
            <w:vAlign w:val="center"/>
          </w:tcPr>
          <w:p>
            <w:r>
              <w:t>7.490</w:t>
            </w:r>
          </w:p>
        </w:tc>
        <w:tc>
          <w:tcPr>
            <w:tcW w:w="1131" w:type="dxa"/>
            <w:vAlign w:val="center"/>
          </w:tcPr>
          <w:p>
            <w:r>
              <w:t>0.267</w:t>
            </w:r>
          </w:p>
        </w:tc>
        <w:tc>
          <w:tcPr>
            <w:tcW w:w="1188" w:type="dxa"/>
            <w:vAlign w:val="center"/>
          </w:tcPr>
          <w:p>
            <w:r>
              <w:t>1.997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30</w:t>
            </w:r>
          </w:p>
        </w:tc>
        <w:tc>
          <w:tcPr>
            <w:tcW w:w="1086" w:type="dxa"/>
            <w:vAlign w:val="center"/>
          </w:tcPr>
          <w:p>
            <w:r>
              <w:t>0.030</w:t>
            </w:r>
          </w:p>
        </w:tc>
        <w:tc>
          <w:tcPr>
            <w:tcW w:w="1120" w:type="dxa"/>
            <w:vAlign w:val="center"/>
          </w:tcPr>
          <w:p>
            <w:r>
              <w:t>0.320</w:t>
            </w:r>
          </w:p>
        </w:tc>
        <w:tc>
          <w:tcPr>
            <w:tcW w:w="1131" w:type="dxa"/>
            <w:vAlign w:val="center"/>
          </w:tcPr>
          <w:p>
            <w:r>
              <w:t>1.000</w:t>
            </w:r>
          </w:p>
        </w:tc>
        <w:tc>
          <w:tcPr>
            <w:tcW w:w="1188" w:type="dxa"/>
            <w:vAlign w:val="center"/>
          </w:tcPr>
          <w:p>
            <w:r>
              <w:t>0.320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混凝土多孔砖(190六孔砖）</w:t>
            </w:r>
          </w:p>
        </w:tc>
        <w:tc>
          <w:tcPr>
            <w:tcW w:w="1018" w:type="dxa"/>
            <w:vAlign w:val="center"/>
          </w:tcPr>
          <w:p>
            <w:r>
              <w:t>200</w:t>
            </w:r>
          </w:p>
        </w:tc>
        <w:tc>
          <w:tcPr>
            <w:tcW w:w="1086" w:type="dxa"/>
            <w:vAlign w:val="center"/>
          </w:tcPr>
          <w:p>
            <w:r>
              <w:t>0.750</w:t>
            </w:r>
          </w:p>
        </w:tc>
        <w:tc>
          <w:tcPr>
            <w:tcW w:w="1120" w:type="dxa"/>
            <w:vAlign w:val="center"/>
          </w:tcPr>
          <w:p>
            <w:r>
              <w:t>7.490</w:t>
            </w:r>
          </w:p>
        </w:tc>
        <w:tc>
          <w:tcPr>
            <w:tcW w:w="1131" w:type="dxa"/>
            <w:vAlign w:val="center"/>
          </w:tcPr>
          <w:p>
            <w:r>
              <w:t>0.267</w:t>
            </w:r>
          </w:p>
        </w:tc>
        <w:tc>
          <w:tcPr>
            <w:tcW w:w="1188" w:type="dxa"/>
            <w:vAlign w:val="center"/>
          </w:tcPr>
          <w:p>
            <w:r>
              <w:t>1.997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30</w:t>
            </w:r>
          </w:p>
        </w:tc>
        <w:tc>
          <w:tcPr>
            <w:tcW w:w="1086" w:type="dxa"/>
            <w:vAlign w:val="center"/>
          </w:tcPr>
          <w:p>
            <w:r>
              <w:t>0.030</w:t>
            </w:r>
          </w:p>
        </w:tc>
        <w:tc>
          <w:tcPr>
            <w:tcW w:w="1120" w:type="dxa"/>
            <w:vAlign w:val="center"/>
          </w:tcPr>
          <w:p>
            <w:r>
              <w:t>0.320</w:t>
            </w:r>
          </w:p>
        </w:tc>
        <w:tc>
          <w:tcPr>
            <w:tcW w:w="1131" w:type="dxa"/>
            <w:vAlign w:val="center"/>
          </w:tcPr>
          <w:p>
            <w:r>
              <w:t>1.000</w:t>
            </w:r>
          </w:p>
        </w:tc>
        <w:tc>
          <w:tcPr>
            <w:tcW w:w="1188" w:type="dxa"/>
            <w:vAlign w:val="center"/>
          </w:tcPr>
          <w:p>
            <w:r>
              <w:t>0.320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-8.91.</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7"/>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34671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8"/>
                          <a:stretch>
                            <a:fillRect/>
                          </a:stretch>
                        </pic:blipFill>
                        <pic:spPr>
                          <a:xfrm>
                            <a:off x="0" y="0"/>
                            <a:ext cx="2962275" cy="346710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外墙－挑空楼板(WA-1)节点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钢筋混凝土</w:t>
            </w:r>
          </w:p>
        </w:tc>
        <w:tc>
          <w:tcPr>
            <w:tcW w:w="1018" w:type="dxa"/>
            <w:vAlign w:val="center"/>
          </w:tcPr>
          <w:p>
            <w:r>
              <w:t>100</w:t>
            </w:r>
          </w:p>
        </w:tc>
        <w:tc>
          <w:tcPr>
            <w:tcW w:w="1086" w:type="dxa"/>
            <w:vAlign w:val="center"/>
          </w:tcPr>
          <w:p>
            <w:r>
              <w:t>1.740</w:t>
            </w:r>
          </w:p>
        </w:tc>
        <w:tc>
          <w:tcPr>
            <w:tcW w:w="1120" w:type="dxa"/>
            <w:vAlign w:val="center"/>
          </w:tcPr>
          <w:p>
            <w:r>
              <w:t>17.200</w:t>
            </w:r>
          </w:p>
        </w:tc>
        <w:tc>
          <w:tcPr>
            <w:tcW w:w="1131" w:type="dxa"/>
            <w:vAlign w:val="center"/>
          </w:tcPr>
          <w:p>
            <w:r>
              <w:t>0.057</w:t>
            </w:r>
          </w:p>
        </w:tc>
        <w:tc>
          <w:tcPr>
            <w:tcW w:w="1188" w:type="dxa"/>
            <w:vAlign w:val="center"/>
          </w:tcPr>
          <w:p>
            <w:r>
              <w:t>0.989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1.42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te=te.min</w:t>
            </w:r>
          </w:p>
        </w:tc>
        <w:tc>
          <w:tcPr>
            <w:tcW w:w="1188" w:type="dxa"/>
            <w:vAlign w:val="center"/>
          </w:tcPr>
          <w:p>
            <w:r>
              <w:t>-10.50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混凝土多孔砖(190六孔砖）</w:t>
            </w:r>
          </w:p>
        </w:tc>
        <w:tc>
          <w:tcPr>
            <w:tcW w:w="1018" w:type="dxa"/>
            <w:vAlign w:val="center"/>
          </w:tcPr>
          <w:p>
            <w:r>
              <w:t>200</w:t>
            </w:r>
          </w:p>
        </w:tc>
        <w:tc>
          <w:tcPr>
            <w:tcW w:w="1086" w:type="dxa"/>
            <w:vAlign w:val="center"/>
          </w:tcPr>
          <w:p>
            <w:r>
              <w:t>0.750</w:t>
            </w:r>
          </w:p>
        </w:tc>
        <w:tc>
          <w:tcPr>
            <w:tcW w:w="1120" w:type="dxa"/>
            <w:vAlign w:val="center"/>
          </w:tcPr>
          <w:p>
            <w:r>
              <w:t>7.490</w:t>
            </w:r>
          </w:p>
        </w:tc>
        <w:tc>
          <w:tcPr>
            <w:tcW w:w="1131" w:type="dxa"/>
            <w:vAlign w:val="center"/>
          </w:tcPr>
          <w:p>
            <w:r>
              <w:t>0.267</w:t>
            </w:r>
          </w:p>
        </w:tc>
        <w:tc>
          <w:tcPr>
            <w:tcW w:w="1188" w:type="dxa"/>
            <w:vAlign w:val="center"/>
          </w:tcPr>
          <w:p>
            <w:r>
              <w:t>1.997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30</w:t>
            </w:r>
          </w:p>
        </w:tc>
        <w:tc>
          <w:tcPr>
            <w:tcW w:w="1086" w:type="dxa"/>
            <w:vAlign w:val="center"/>
          </w:tcPr>
          <w:p>
            <w:r>
              <w:t>0.030</w:t>
            </w:r>
          </w:p>
        </w:tc>
        <w:tc>
          <w:tcPr>
            <w:tcW w:w="1120" w:type="dxa"/>
            <w:vAlign w:val="center"/>
          </w:tcPr>
          <w:p>
            <w:r>
              <w:t>0.320</w:t>
            </w:r>
          </w:p>
        </w:tc>
        <w:tc>
          <w:tcPr>
            <w:tcW w:w="1131" w:type="dxa"/>
            <w:vAlign w:val="center"/>
          </w:tcPr>
          <w:p>
            <w:r>
              <w:t>1.000</w:t>
            </w:r>
          </w:p>
        </w:tc>
        <w:tc>
          <w:tcPr>
            <w:tcW w:w="1188" w:type="dxa"/>
            <w:vAlign w:val="center"/>
          </w:tcPr>
          <w:p>
            <w:r>
              <w:t>0.320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-10.50.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27336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30"/>
                          <a:stretch>
                            <a:fillRect/>
                          </a:stretch>
                        </pic:blipFill>
                        <pic:spPr>
                          <a:xfrm>
                            <a:off x="0" y="0"/>
                            <a:ext cx="2962275" cy="27336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外墙－外墙(WO-1)节点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-8.91.</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527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31"/>
                          <a:stretch>
                            <a:fillRect/>
                          </a:stretch>
                        </pic:blipFill>
                        <pic:spPr>
                          <a:xfrm>
                            <a:off x="0" y="0"/>
                            <a:ext cx="2962275" cy="2952750"/>
                          </a:xfrm>
                          <a:prstGeom prst="rect">
                            <a:avLst/>
                          </a:prstGeom>
                        </pic:spPr>
                      </pic:pic>
                    </a:graphicData>
                  </a:graphic>
                </wp:inline>
              </w:drawing>
            </w:r>
          </w:p>
        </w:tc>
        <w:tc>
          <w:tcPr>
            <w:tcW w:w="4663" w:type="dxa"/>
            <w:vAlign w:val="center"/>
          </w:tcPr>
          <w:p>
            <w:r>
              <w:drawing>
                <wp:inline distT="0" distB="0" distL="0" distR="0">
                  <wp:extent cx="2962275" cy="24288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外墙－内墙(WI-1)节点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-8.91.</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19145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33"/>
                          <a:stretch>
                            <a:fillRect/>
                          </a:stretch>
                        </pic:blipFill>
                        <pic:spPr>
                          <a:xfrm>
                            <a:off x="0" y="0"/>
                            <a:ext cx="2962275" cy="1914525"/>
                          </a:xfrm>
                          <a:prstGeom prst="rect">
                            <a:avLst/>
                          </a:prstGeom>
                        </pic:spPr>
                      </pic:pic>
                    </a:graphicData>
                  </a:graphic>
                </wp:inline>
              </w:drawing>
            </w:r>
          </w:p>
        </w:tc>
        <w:tc>
          <w:tcPr>
            <w:tcW w:w="4663" w:type="dxa"/>
            <w:vAlign w:val="center"/>
          </w:tcPr>
          <w:p>
            <w:r>
              <w:drawing>
                <wp:inline distT="0" distB="0" distL="0" distR="0">
                  <wp:extent cx="2962275" cy="17049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34"/>
                          <a:stretch>
                            <a:fillRect/>
                          </a:stretch>
                        </pic:blipFill>
                        <pic:spPr>
                          <a:xfrm>
                            <a:off x="0" y="0"/>
                            <a:ext cx="2962275" cy="17049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门窗左右口(WS-1)节点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6858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35"/>
                          <a:stretch>
                            <a:fillRect/>
                          </a:stretch>
                        </pic:blipFill>
                        <pic:spPr>
                          <a:xfrm>
                            <a:off x="0" y="0"/>
                            <a:ext cx="2962275" cy="685800"/>
                          </a:xfrm>
                          <a:prstGeom prst="rect">
                            <a:avLst/>
                          </a:prstGeom>
                        </pic:spPr>
                      </pic:pic>
                    </a:graphicData>
                  </a:graphic>
                </wp:inline>
              </w:drawing>
            </w:r>
          </w:p>
        </w:tc>
        <w:tc>
          <w:tcPr>
            <w:tcW w:w="4663" w:type="dxa"/>
            <w:vAlign w:val="center"/>
          </w:tcPr>
          <w:p>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门窗上口(WU-1)节点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34766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8"/>
                          <a:stretch>
                            <a:fillRect/>
                          </a:stretch>
                        </pic:blipFill>
                        <pic:spPr>
                          <a:xfrm>
                            <a:off x="0" y="0"/>
                            <a:ext cx="2962275" cy="347662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窗下口(WD-1)节点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40</w:t>
            </w:r>
          </w:p>
        </w:tc>
        <w:tc>
          <w:tcPr>
            <w:tcW w:w="1086" w:type="dxa"/>
            <w:vAlign w:val="center"/>
          </w:tcPr>
          <w:p>
            <w:r>
              <w:t>0.030</w:t>
            </w:r>
          </w:p>
        </w:tc>
        <w:tc>
          <w:tcPr>
            <w:tcW w:w="1120" w:type="dxa"/>
            <w:vAlign w:val="center"/>
          </w:tcPr>
          <w:p>
            <w:r>
              <w:t>0.320</w:t>
            </w:r>
          </w:p>
        </w:tc>
        <w:tc>
          <w:tcPr>
            <w:tcW w:w="1131" w:type="dxa"/>
            <w:vAlign w:val="center"/>
          </w:tcPr>
          <w:p>
            <w:r>
              <w:t>1.333</w:t>
            </w:r>
          </w:p>
        </w:tc>
        <w:tc>
          <w:tcPr>
            <w:tcW w:w="1188"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-8.91</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527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39"/>
                          <a:stretch>
                            <a:fillRect/>
                          </a:stretch>
                        </pic:blipFill>
                        <pic:spPr>
                          <a:xfrm>
                            <a:off x="0" y="0"/>
                            <a:ext cx="2962275" cy="2952750"/>
                          </a:xfrm>
                          <a:prstGeom prst="rect">
                            <a:avLst/>
                          </a:prstGeom>
                        </pic:spPr>
                      </pic:pic>
                    </a:graphicData>
                  </a:graphic>
                </wp:inline>
              </w:drawing>
            </w:r>
          </w:p>
        </w:tc>
        <w:tc>
          <w:tcPr>
            <w:tcW w:w="4663" w:type="dxa"/>
            <w:vAlign w:val="center"/>
          </w:tcPr>
          <w:p>
            <w:r>
              <w:drawing>
                <wp:inline distT="0" distB="0" distL="0" distR="0">
                  <wp:extent cx="2962275" cy="34766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40"/>
                          <a:stretch>
                            <a:fillRect/>
                          </a:stretch>
                        </pic:blipFill>
                        <pic:spPr>
                          <a:xfrm>
                            <a:off x="0" y="0"/>
                            <a:ext cx="2962275" cy="347662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2"/>
        <w:autoSpaceDE w:val="0"/>
        <w:autoSpaceDN w:val="0"/>
        <w:adjustRightInd w:val="0"/>
        <w:snapToGrid w:val="0"/>
        <w:rPr>
          <w:kern w:val="2"/>
          <w:szCs w:val="21"/>
        </w:rPr>
      </w:pPr>
      <w:r>
        <w:rPr>
          <w:kern w:val="2"/>
          <w:szCs w:val="21"/>
        </w:rPr>
        <w:t>结论</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3"/>
        <w:gridCol w:w="1131"/>
        <w:gridCol w:w="1472"/>
        <w:gridCol w:w="1800"/>
        <w:gridCol w:w="1710"/>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pPr>
              <w:jc w:val="center"/>
            </w:pPr>
            <w:r>
              <w:t>热桥部位</w:t>
            </w:r>
          </w:p>
        </w:tc>
        <w:tc>
          <w:tcPr>
            <w:tcW w:w="1131" w:type="dxa"/>
            <w:shd w:val="clear" w:color="auto" w:fill="E6E6E6"/>
            <w:vAlign w:val="center"/>
          </w:tcPr>
          <w:p>
            <w:pPr>
              <w:jc w:val="center"/>
            </w:pPr>
            <w:r>
              <w:t>热桥类型</w:t>
            </w:r>
          </w:p>
        </w:tc>
        <w:tc>
          <w:tcPr>
            <w:tcW w:w="1471" w:type="dxa"/>
            <w:shd w:val="clear" w:color="auto" w:fill="E6E6E6"/>
            <w:vAlign w:val="center"/>
          </w:tcPr>
          <w:p>
            <w:pPr>
              <w:jc w:val="center"/>
            </w:pPr>
            <w:r>
              <w:t>围护结构热惰性D</w:t>
            </w:r>
          </w:p>
        </w:tc>
        <w:tc>
          <w:tcPr>
            <w:tcW w:w="1799" w:type="dxa"/>
            <w:shd w:val="clear" w:color="auto" w:fill="E6E6E6"/>
            <w:vAlign w:val="center"/>
          </w:tcPr>
          <w:p>
            <w:pPr>
              <w:jc w:val="center"/>
            </w:pPr>
            <w:r>
              <w:t>冬季室外计算温度(℃)</w:t>
            </w:r>
          </w:p>
        </w:tc>
        <w:tc>
          <w:tcPr>
            <w:tcW w:w="1709" w:type="dxa"/>
            <w:shd w:val="clear" w:color="auto" w:fill="E6E6E6"/>
            <w:vAlign w:val="center"/>
          </w:tcPr>
          <w:p>
            <w:pPr>
              <w:jc w:val="center"/>
            </w:pPr>
            <w:r>
              <w:t>内表面最低温度(℃)</w:t>
            </w:r>
          </w:p>
        </w:tc>
        <w:tc>
          <w:tcPr>
            <w:tcW w:w="113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vMerge w:val="restart"/>
            <w:shd w:val="clear" w:color="auto" w:fill="E6E6E6"/>
            <w:vAlign w:val="center"/>
          </w:tcPr>
          <w:p>
            <w:r>
              <w:t>外墙－屋顶</w:t>
            </w:r>
          </w:p>
        </w:tc>
        <w:tc>
          <w:tcPr>
            <w:tcW w:w="1131" w:type="dxa"/>
            <w:vAlign w:val="center"/>
          </w:tcPr>
          <w:p>
            <w:r>
              <w:t>WR-1</w:t>
            </w:r>
          </w:p>
        </w:tc>
        <w:tc>
          <w:tcPr>
            <w:tcW w:w="1471" w:type="dxa"/>
            <w:vAlign w:val="center"/>
          </w:tcPr>
          <w:p>
            <w:r>
              <w:t>1.52</w:t>
            </w:r>
          </w:p>
        </w:tc>
        <w:tc>
          <w:tcPr>
            <w:tcW w:w="1799" w:type="dxa"/>
            <w:vAlign w:val="center"/>
          </w:tcPr>
          <w:p>
            <w:r>
              <w:t>-10.50</w:t>
            </w:r>
          </w:p>
        </w:tc>
        <w:tc>
          <w:tcPr>
            <w:tcW w:w="1709" w:type="dxa"/>
            <w:vAlign w:val="center"/>
          </w:tcPr>
          <w:p>
            <w:r>
              <w:t>11.45</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vMerge w:val="continue"/>
            <w:shd w:val="clear" w:color="auto" w:fill="E6E6E6"/>
            <w:vAlign w:val="center"/>
          </w:tcPr>
          <w:p/>
        </w:tc>
        <w:tc>
          <w:tcPr>
            <w:tcW w:w="1131" w:type="dxa"/>
            <w:vAlign w:val="center"/>
          </w:tcPr>
          <w:p>
            <w:r>
              <w:t>WR-2</w:t>
            </w:r>
          </w:p>
        </w:tc>
        <w:tc>
          <w:tcPr>
            <w:tcW w:w="1471" w:type="dxa"/>
            <w:vAlign w:val="center"/>
          </w:tcPr>
          <w:p>
            <w:r>
              <w:t>1.52</w:t>
            </w:r>
          </w:p>
        </w:tc>
        <w:tc>
          <w:tcPr>
            <w:tcW w:w="1799" w:type="dxa"/>
            <w:vAlign w:val="center"/>
          </w:tcPr>
          <w:p>
            <w:r>
              <w:t>-10.50</w:t>
            </w:r>
          </w:p>
        </w:tc>
        <w:tc>
          <w:tcPr>
            <w:tcW w:w="1709" w:type="dxa"/>
            <w:vAlign w:val="center"/>
          </w:tcPr>
          <w:p>
            <w:r>
              <w:t>11.34</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外墙－楼板</w:t>
            </w:r>
          </w:p>
        </w:tc>
        <w:tc>
          <w:tcPr>
            <w:tcW w:w="1131" w:type="dxa"/>
            <w:vAlign w:val="center"/>
          </w:tcPr>
          <w:p>
            <w:r>
              <w:t>WF-1</w:t>
            </w:r>
          </w:p>
        </w:tc>
        <w:tc>
          <w:tcPr>
            <w:tcW w:w="1471" w:type="dxa"/>
            <w:vAlign w:val="center"/>
          </w:tcPr>
          <w:p>
            <w:r>
              <w:t>2.32</w:t>
            </w:r>
          </w:p>
        </w:tc>
        <w:tc>
          <w:tcPr>
            <w:tcW w:w="1799" w:type="dxa"/>
            <w:vAlign w:val="center"/>
          </w:tcPr>
          <w:p>
            <w:r>
              <w:t>-8.91</w:t>
            </w:r>
          </w:p>
        </w:tc>
        <w:tc>
          <w:tcPr>
            <w:tcW w:w="1709" w:type="dxa"/>
            <w:vAlign w:val="center"/>
          </w:tcPr>
          <w:p>
            <w:r>
              <w:t>15.85</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外墙－挑空楼板</w:t>
            </w:r>
          </w:p>
        </w:tc>
        <w:tc>
          <w:tcPr>
            <w:tcW w:w="1131" w:type="dxa"/>
            <w:vAlign w:val="center"/>
          </w:tcPr>
          <w:p>
            <w:r>
              <w:t>WA-1</w:t>
            </w:r>
          </w:p>
        </w:tc>
        <w:tc>
          <w:tcPr>
            <w:tcW w:w="1471" w:type="dxa"/>
            <w:vAlign w:val="center"/>
          </w:tcPr>
          <w:p>
            <w:r>
              <w:t>1.42</w:t>
            </w:r>
          </w:p>
        </w:tc>
        <w:tc>
          <w:tcPr>
            <w:tcW w:w="1799" w:type="dxa"/>
            <w:vAlign w:val="center"/>
          </w:tcPr>
          <w:p>
            <w:r>
              <w:t>-10.50</w:t>
            </w:r>
          </w:p>
        </w:tc>
        <w:tc>
          <w:tcPr>
            <w:tcW w:w="1709" w:type="dxa"/>
            <w:vAlign w:val="center"/>
          </w:tcPr>
          <w:p>
            <w:r>
              <w:rPr>
                <w:rFonts w:hint="eastAsia"/>
                <w:lang w:val="en-US" w:eastAsia="zh-CN"/>
              </w:rPr>
              <w:t>11</w:t>
            </w:r>
            <w:r>
              <w:t>.37</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外墙－外墙</w:t>
            </w:r>
          </w:p>
        </w:tc>
        <w:tc>
          <w:tcPr>
            <w:tcW w:w="1131" w:type="dxa"/>
            <w:vAlign w:val="center"/>
          </w:tcPr>
          <w:p>
            <w:r>
              <w:t>WO-1</w:t>
            </w:r>
          </w:p>
        </w:tc>
        <w:tc>
          <w:tcPr>
            <w:tcW w:w="1471" w:type="dxa"/>
            <w:vAlign w:val="center"/>
          </w:tcPr>
          <w:p>
            <w:r>
              <w:t>2.40</w:t>
            </w:r>
          </w:p>
        </w:tc>
        <w:tc>
          <w:tcPr>
            <w:tcW w:w="1799" w:type="dxa"/>
            <w:vAlign w:val="center"/>
          </w:tcPr>
          <w:p>
            <w:r>
              <w:t>-8.91</w:t>
            </w:r>
          </w:p>
        </w:tc>
        <w:tc>
          <w:tcPr>
            <w:tcW w:w="1709" w:type="dxa"/>
            <w:vAlign w:val="center"/>
          </w:tcPr>
          <w:p>
            <w:r>
              <w:t>14.54</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外墙－内墙</w:t>
            </w:r>
          </w:p>
        </w:tc>
        <w:tc>
          <w:tcPr>
            <w:tcW w:w="1131" w:type="dxa"/>
            <w:vAlign w:val="center"/>
          </w:tcPr>
          <w:p>
            <w:r>
              <w:t>WI-1</w:t>
            </w:r>
          </w:p>
        </w:tc>
        <w:tc>
          <w:tcPr>
            <w:tcW w:w="1471" w:type="dxa"/>
            <w:vAlign w:val="center"/>
          </w:tcPr>
          <w:p>
            <w:r>
              <w:t>2.40</w:t>
            </w:r>
          </w:p>
        </w:tc>
        <w:tc>
          <w:tcPr>
            <w:tcW w:w="1799" w:type="dxa"/>
            <w:vAlign w:val="center"/>
          </w:tcPr>
          <w:p>
            <w:r>
              <w:t>-8.91</w:t>
            </w:r>
          </w:p>
        </w:tc>
        <w:tc>
          <w:tcPr>
            <w:tcW w:w="1709" w:type="dxa"/>
            <w:vAlign w:val="center"/>
          </w:tcPr>
          <w:p>
            <w:r>
              <w:t>16.09</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门窗左右口</w:t>
            </w:r>
          </w:p>
        </w:tc>
        <w:tc>
          <w:tcPr>
            <w:tcW w:w="1131" w:type="dxa"/>
            <w:vAlign w:val="center"/>
          </w:tcPr>
          <w:p>
            <w:r>
              <w:t>WS-1</w:t>
            </w:r>
          </w:p>
        </w:tc>
        <w:tc>
          <w:tcPr>
            <w:tcW w:w="1471" w:type="dxa"/>
            <w:vAlign w:val="center"/>
          </w:tcPr>
          <w:p>
            <w:r>
              <w:t>2.40</w:t>
            </w:r>
          </w:p>
        </w:tc>
        <w:tc>
          <w:tcPr>
            <w:tcW w:w="1799" w:type="dxa"/>
            <w:vAlign w:val="center"/>
          </w:tcPr>
          <w:p>
            <w:r>
              <w:t>-8.91</w:t>
            </w:r>
          </w:p>
        </w:tc>
        <w:tc>
          <w:tcPr>
            <w:tcW w:w="1709" w:type="dxa"/>
            <w:vAlign w:val="center"/>
          </w:tcPr>
          <w:p>
            <w:r>
              <w:rPr>
                <w:rFonts w:hint="eastAsia"/>
                <w:lang w:val="en-US" w:eastAsia="zh-CN"/>
              </w:rPr>
              <w:t>11</w:t>
            </w:r>
            <w:r>
              <w:t>.12</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门窗上口</w:t>
            </w:r>
          </w:p>
        </w:tc>
        <w:tc>
          <w:tcPr>
            <w:tcW w:w="1131" w:type="dxa"/>
            <w:vAlign w:val="center"/>
          </w:tcPr>
          <w:p>
            <w:r>
              <w:t>WU-1</w:t>
            </w:r>
          </w:p>
        </w:tc>
        <w:tc>
          <w:tcPr>
            <w:tcW w:w="1471" w:type="dxa"/>
            <w:vAlign w:val="center"/>
          </w:tcPr>
          <w:p>
            <w:r>
              <w:t>2.40</w:t>
            </w:r>
          </w:p>
        </w:tc>
        <w:tc>
          <w:tcPr>
            <w:tcW w:w="1799" w:type="dxa"/>
            <w:vAlign w:val="center"/>
          </w:tcPr>
          <w:p>
            <w:r>
              <w:t>-8.91</w:t>
            </w:r>
          </w:p>
        </w:tc>
        <w:tc>
          <w:tcPr>
            <w:tcW w:w="1709" w:type="dxa"/>
            <w:vAlign w:val="center"/>
          </w:tcPr>
          <w:p>
            <w:r>
              <w:rPr>
                <w:rFonts w:hint="eastAsia"/>
                <w:lang w:val="en-US" w:eastAsia="zh-CN"/>
              </w:rPr>
              <w:t>13</w:t>
            </w:r>
            <w:r>
              <w:t>.82</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窗下口</w:t>
            </w:r>
          </w:p>
        </w:tc>
        <w:tc>
          <w:tcPr>
            <w:tcW w:w="1131" w:type="dxa"/>
            <w:vAlign w:val="center"/>
          </w:tcPr>
          <w:p>
            <w:r>
              <w:t>WD-1</w:t>
            </w:r>
          </w:p>
        </w:tc>
        <w:tc>
          <w:tcPr>
            <w:tcW w:w="1471" w:type="dxa"/>
            <w:vAlign w:val="center"/>
          </w:tcPr>
          <w:p>
            <w:r>
              <w:t>2.40</w:t>
            </w:r>
          </w:p>
        </w:tc>
        <w:tc>
          <w:tcPr>
            <w:tcW w:w="1799" w:type="dxa"/>
            <w:vAlign w:val="center"/>
          </w:tcPr>
          <w:p>
            <w:r>
              <w:t>-8.91</w:t>
            </w:r>
          </w:p>
        </w:tc>
        <w:tc>
          <w:tcPr>
            <w:tcW w:w="1709" w:type="dxa"/>
            <w:vAlign w:val="center"/>
          </w:tcPr>
          <w:p>
            <w:r>
              <w:rPr>
                <w:rFonts w:hint="eastAsia"/>
                <w:lang w:val="en-US" w:eastAsia="zh-CN"/>
              </w:rPr>
              <w:t>14</w:t>
            </w:r>
            <w:r>
              <w:t>.82</w:t>
            </w:r>
          </w:p>
        </w:tc>
        <w:tc>
          <w:tcPr>
            <w:tcW w:w="1131" w:type="dxa"/>
            <w:vAlign w:val="center"/>
          </w:tcPr>
          <w:p>
            <w:r>
              <w:t>不结露</w:t>
            </w:r>
            <w:bookmarkStart w:id="25" w:name="_GoBack"/>
            <w:bookmarkEnd w:id="25"/>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5DC"/>
    <w:rsid w:val="000730E7"/>
    <w:rsid w:val="0007324E"/>
    <w:rsid w:val="000C650F"/>
    <w:rsid w:val="000E2E24"/>
    <w:rsid w:val="000F7EF2"/>
    <w:rsid w:val="0010335A"/>
    <w:rsid w:val="00136AB2"/>
    <w:rsid w:val="00136C0F"/>
    <w:rsid w:val="001462C8"/>
    <w:rsid w:val="00173F51"/>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935DC"/>
    <w:rsid w:val="009A1000"/>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35E47"/>
    <w:rsid w:val="00C63237"/>
    <w:rsid w:val="00C66B69"/>
    <w:rsid w:val="00C97E25"/>
    <w:rsid w:val="00CB2BE3"/>
    <w:rsid w:val="00CC07EB"/>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 w:val="1C447FF7"/>
    <w:rsid w:val="34CC6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字符"/>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26.png"/><Relationship Id="rId4" Type="http://schemas.openxmlformats.org/officeDocument/2006/relationships/footer" Target="footer1.xml"/><Relationship Id="rId39" Type="http://schemas.openxmlformats.org/officeDocument/2006/relationships/image" Target="media/image25.png"/><Relationship Id="rId38" Type="http://schemas.openxmlformats.org/officeDocument/2006/relationships/image" Target="media/image24.png"/><Relationship Id="rId37" Type="http://schemas.openxmlformats.org/officeDocument/2006/relationships/image" Target="media/image23.png"/><Relationship Id="rId36" Type="http://schemas.openxmlformats.org/officeDocument/2006/relationships/image" Target="media/image22.png"/><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png"/><Relationship Id="rId32" Type="http://schemas.openxmlformats.org/officeDocument/2006/relationships/image" Target="media/image18.png"/><Relationship Id="rId31" Type="http://schemas.openxmlformats.org/officeDocument/2006/relationships/image" Target="media/image17.png"/><Relationship Id="rId30" Type="http://schemas.openxmlformats.org/officeDocument/2006/relationships/image" Target="media/image16.png"/><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209\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tmp6.dotx</Template>
  <Company>ths</Company>
  <Pages>11</Pages>
  <Words>759</Words>
  <Characters>4332</Characters>
  <Lines>36</Lines>
  <Paragraphs>10</Paragraphs>
  <TotalTime>0</TotalTime>
  <ScaleCrop>false</ScaleCrop>
  <LinksUpToDate>false</LinksUpToDate>
  <CharactersWithSpaces>5081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2021-11-11T10:57:00Z</dcterms:created>
  <dc:creator>23209</dc:creator>
  <cp:lastModifiedBy>Reli </cp:lastModifiedBy>
  <cp:lastPrinted>2411-12-31T16:00:00Z</cp:lastPrinted>
  <dcterms:modified xsi:type="dcterms:W3CDTF">2021-11-11T11:46:51Z</dcterms:modified>
  <dc:title>结露检查计算书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E1B8902FA6304E34A193A000D8D1D14E</vt:lpwstr>
  </property>
</Properties>
</file>