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8"/>
        <w:tblW w:w="79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266"/>
        <w:gridCol w:w="1978"/>
        <w:gridCol w:w="1578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42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226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夏热冬暖地区达到12%</w:t>
            </w:r>
          </w:p>
        </w:tc>
        <w:tc>
          <w:tcPr>
            <w:tcW w:w="157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夏热冬冷地区达到8%</w:t>
            </w:r>
          </w:p>
        </w:tc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其他地区达到5%</w:t>
            </w:r>
          </w:p>
        </w:tc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增加2%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增加4%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增加6%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226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过渡季典型工况下主要功能房间的平均自然通风换气次数不小于2次/h的面积比例RR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6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6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6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项目所处城市的建筑热工气候分区：</w:t>
      </w:r>
      <w:r>
        <w:rPr>
          <w:rFonts w:hint="eastAsia" w:ascii="宋体" w:hAnsi="宋体" w:eastAsia="宋体" w:cs="Times New Roman"/>
          <w:szCs w:val="21"/>
          <w:lang w:eastAsia="zh-CN"/>
        </w:rPr>
        <w:t>☑</w:t>
      </w:r>
      <w:r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□温和</w:t>
      </w:r>
    </w:p>
    <w:p>
      <w:pPr>
        <w:rPr>
          <w:rFonts w:ascii="宋体" w:hAnsi="宋体" w:eastAsia="宋体" w:cs="Times New Roman"/>
          <w:szCs w:val="21"/>
        </w:rPr>
      </w:pPr>
    </w:p>
    <w:p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居住建筑</w:t>
      </w:r>
    </w:p>
    <w:p>
      <w:r>
        <w:rPr>
          <w:rFonts w:hint="eastAsia"/>
        </w:rPr>
        <w:t>主要功能房间通风开口面积与房间地板面积比例表：</w:t>
      </w:r>
    </w:p>
    <w:tbl>
      <w:tblPr>
        <w:tblStyle w:val="8"/>
        <w:tblW w:w="93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36"/>
        <w:gridCol w:w="1656"/>
        <w:gridCol w:w="3336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</w:tcPr>
          <w:p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lang w:val="zh-CN"/>
        </w:rPr>
      </w:pPr>
    </w:p>
    <w:p>
      <w:r>
        <w:rPr>
          <w:rFonts w:hint="eastAsia"/>
          <w:lang w:val="zh-CN"/>
        </w:rPr>
        <w:t>☑</w:t>
      </w:r>
      <w:r>
        <w:rPr>
          <w:rFonts w:hint="eastAsia"/>
        </w:rPr>
        <w:t>公共建筑</w:t>
      </w:r>
    </w:p>
    <w:p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>
      <w:pPr>
        <w:rPr>
          <w:rFonts w:hint="eastAsia"/>
        </w:rPr>
      </w:pPr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p>
      <w:pPr>
        <w:rPr>
          <w:rFonts w:hint="eastAsia"/>
        </w:rPr>
      </w:pPr>
    </w:p>
    <w:p>
      <w:pPr>
        <w:pStyle w:val="2"/>
        <w:rPr>
          <w:kern w:val="2"/>
        </w:rPr>
      </w:pPr>
      <w:r>
        <w:rPr>
          <w:rFonts w:hint="eastAsia"/>
          <w:kern w:val="2"/>
        </w:rPr>
        <w:t>换气次数</w:t>
      </w:r>
      <w:r>
        <w:rPr>
          <w:kern w:val="2"/>
        </w:rPr>
        <w:t>计算表</w:t>
      </w:r>
    </w:p>
    <w:p>
      <w:pPr>
        <w:widowControl w:val="0"/>
        <w:spacing w:after="156" w:afterLines="50" w:line="240" w:lineRule="auto"/>
        <w:jc w:val="center"/>
        <w:rPr>
          <w:rFonts w:ascii="黑体" w:hAnsi="黑体" w:eastAsia="黑体"/>
          <w:kern w:val="2"/>
          <w:sz w:val="21"/>
          <w:szCs w:val="24"/>
          <w:lang w:val="en-US"/>
        </w:rPr>
      </w:pPr>
      <w:r>
        <w:rPr>
          <w:rFonts w:hint="eastAsia" w:ascii="黑体" w:hAnsi="黑体" w:eastAsia="黑体"/>
          <w:kern w:val="2"/>
          <w:sz w:val="21"/>
          <w:szCs w:val="24"/>
          <w:lang w:val="en-US"/>
        </w:rPr>
        <w:t>表2 公共建筑过渡季节典型工况下换气次数统计表</w:t>
      </w:r>
    </w:p>
    <w:tbl>
      <w:tblPr>
        <w:tblStyle w:val="8"/>
        <w:tblW w:w="97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1"/>
        <w:gridCol w:w="3287"/>
        <w:gridCol w:w="24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0" w:name="统计计算表表头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换气次数大于2次/h的面积比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换气次数大于2次/h的面积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" w:name="面积分子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4620.47</w:t>
            </w:r>
            <w:bookmarkEnd w:id="1"/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总面积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" w:name="面积分母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4794.53</w:t>
            </w:r>
            <w:bookmarkEnd w:id="2"/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面积比例RR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3" w:name="面积比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96.37</w:t>
            </w:r>
            <w:bookmarkEnd w:id="3"/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</w:tr>
      <w:bookmarkEnd w:id="0"/>
    </w:tbl>
    <w:p>
      <w:pPr>
        <w:pStyle w:val="3"/>
        <w:ind w:firstLine="525" w:firstLineChars="250"/>
        <w:rPr>
          <w:kern w:val="2"/>
        </w:rPr>
      </w:pPr>
    </w:p>
    <w:p>
      <w:pPr>
        <w:spacing w:line="240" w:lineRule="auto"/>
        <w:rPr>
          <w:rFonts w:ascii="宋体" w:hAnsi="宋体" w:cs="宋体"/>
          <w:color w:val="000000"/>
          <w:szCs w:val="18"/>
          <w:lang w:val="en-US"/>
        </w:rPr>
        <w:sectPr>
          <w:pgSz w:w="11906" w:h="16838"/>
          <w:pgMar w:top="1440" w:right="991" w:bottom="1440" w:left="1418" w:header="850" w:footer="992" w:gutter="0"/>
          <w:cols w:space="720" w:num="1"/>
          <w:docGrid w:type="lines" w:linePitch="312" w:charSpace="0"/>
        </w:sectPr>
      </w:pPr>
    </w:p>
    <w:tbl>
      <w:tblPr>
        <w:tblStyle w:val="8"/>
        <w:tblW w:w="47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760"/>
        <w:gridCol w:w="760"/>
        <w:gridCol w:w="9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bookmarkStart w:id="4" w:name="房间表"/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分类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noWrap w:val="0"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体积</w:t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(m^3)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noWrap w:val="0"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面积</w:t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(m^2)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noWrap w:val="0"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换气次数</w:t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(次/h)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建筑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81.39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20.87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328.75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84.29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212.92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54.59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1480.47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379.61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389.49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99.87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554.63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142.21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X001[房间003]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457.01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117.18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X001[房间002]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289.45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74.22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944.30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242.13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X004[房间010]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606.49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155.51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X008[房间011]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209.29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53.66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X019[房间026]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533.56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136.81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X025[房间008]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1649.64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422.99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X026[房间009]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70.61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18.10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130.24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X027[房间007]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1059.59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271.69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308.68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79.15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478.85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122.78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132.78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29.77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574.87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147.40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447.27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114.68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57.95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14.86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57.89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14.84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2008[房间]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267.71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68.64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2010[房间]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57.83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14.83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62.19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15.95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53.37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13.68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695.25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178.27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57.46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14.73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47.64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12.21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384.86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98.68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2018[房间]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1405.71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360.44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2019[房间]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149.69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38.38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2020[房间]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37.51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145.37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37.28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1424.28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365.20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457.01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117.18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141.51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36.28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289.45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74.22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944.30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242.13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1059.59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271.69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第3层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bookmarkEnd w:id="4"/>
    </w:tbl>
    <w:p>
      <w:pPr>
        <w:pStyle w:val="3"/>
        <w:ind w:firstLine="0" w:firstLineChars="0"/>
        <w:rPr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2"/>
          <w:docGrid w:type="lines" w:linePitch="312" w:charSpace="0"/>
        </w:sectPr>
      </w:pPr>
    </w:p>
    <w:p>
      <w:pPr>
        <w:pStyle w:val="3"/>
        <w:ind w:firstLine="0" w:firstLineChars="0"/>
        <w:rPr>
          <w:kern w:val="2"/>
        </w:rPr>
      </w:pPr>
    </w:p>
    <w:p>
      <w:pPr>
        <w:pStyle w:val="2"/>
        <w:rPr>
          <w:kern w:val="2"/>
        </w:rPr>
      </w:pPr>
      <w:r>
        <w:rPr>
          <w:rFonts w:hint="eastAsia"/>
          <w:kern w:val="2"/>
        </w:rPr>
        <w:t>结论</w:t>
      </w:r>
    </w:p>
    <w:p>
      <w:pPr>
        <w:pStyle w:val="3"/>
        <w:ind w:left="360" w:firstLine="0" w:firstLineChars="0"/>
        <w:rPr>
          <w:kern w:val="2"/>
          <w:szCs w:val="24"/>
          <w:lang w:val="en-US"/>
        </w:rPr>
      </w:pPr>
      <w:bookmarkStart w:id="5" w:name="工程名称5"/>
      <w:bookmarkEnd w:id="5"/>
      <w:bookmarkStart w:id="6" w:name="总结论"/>
      <w:r>
        <w:rPr>
          <w:rFonts w:hint="eastAsia"/>
          <w:kern w:val="2"/>
          <w:szCs w:val="24"/>
          <w:lang w:val="en-US"/>
        </w:rPr>
        <w:t>该建筑</w:t>
      </w:r>
      <w:r>
        <w:rPr>
          <w:rFonts w:hint="eastAsia"/>
        </w:rPr>
        <w:t>主要功能房间</w:t>
      </w:r>
      <w:bookmarkStart w:id="7" w:name="最小比例值"/>
      <w:r>
        <w:rPr>
          <w:rFonts w:hint="eastAsia"/>
          <w:kern w:val="2"/>
          <w:szCs w:val="24"/>
          <w:lang w:val="en-US"/>
        </w:rPr>
        <w:t>换气次数</w:t>
      </w:r>
      <w:bookmarkEnd w:id="7"/>
      <w:r>
        <w:rPr>
          <w:rFonts w:hint="eastAsia"/>
          <w:kern w:val="2"/>
          <w:szCs w:val="24"/>
          <w:lang w:val="en-US"/>
        </w:rPr>
        <w:t>大于2次</w:t>
      </w:r>
      <w:r>
        <w:rPr>
          <w:rFonts w:hint="eastAsia"/>
          <w:b/>
          <w:kern w:val="2"/>
          <w:szCs w:val="24"/>
          <w:lang w:val="en-US"/>
        </w:rPr>
        <w:t>/</w:t>
      </w:r>
      <w:r>
        <w:rPr>
          <w:rFonts w:hint="eastAsia"/>
          <w:kern w:val="2"/>
          <w:szCs w:val="24"/>
          <w:lang w:val="en-US"/>
        </w:rPr>
        <w:t>h的面积比例</w:t>
      </w:r>
      <w:r>
        <w:rPr>
          <w:kern w:val="2"/>
          <w:szCs w:val="24"/>
          <w:lang w:val="en-US"/>
        </w:rPr>
        <w:t>为</w:t>
      </w:r>
      <w:bookmarkStart w:id="8" w:name="面积比2"/>
      <w:r>
        <w:rPr>
          <w:rFonts w:hint="eastAsia"/>
          <w:kern w:val="2"/>
          <w:szCs w:val="24"/>
          <w:lang w:val="en-US"/>
        </w:rPr>
        <w:t>96.37</w:t>
      </w:r>
      <w:bookmarkEnd w:id="8"/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</w:t>
      </w:r>
      <w:bookmarkEnd w:id="6"/>
      <w:r>
        <w:rPr>
          <w:rFonts w:hint="eastAsia"/>
          <w:kern w:val="2"/>
          <w:szCs w:val="24"/>
          <w:lang w:val="en-US"/>
        </w:rPr>
        <w:t>按照绿标5.2.10条款</w:t>
      </w:r>
      <w:r>
        <w:rPr>
          <w:kern w:val="2"/>
          <w:szCs w:val="24"/>
          <w:lang w:val="en-US"/>
        </w:rPr>
        <w:t>要求得</w:t>
      </w:r>
      <w:bookmarkStart w:id="9" w:name="得分"/>
      <w:r>
        <w:rPr>
          <w:rFonts w:hint="eastAsia"/>
          <w:kern w:val="2"/>
          <w:szCs w:val="24"/>
          <w:lang w:val="en-US"/>
        </w:rPr>
        <w:t>7</w:t>
      </w:r>
      <w:bookmarkEnd w:id="9"/>
      <w:r>
        <w:rPr>
          <w:rFonts w:hint="eastAsia"/>
          <w:kern w:val="2"/>
          <w:szCs w:val="24"/>
          <w:lang w:val="en-US"/>
        </w:rPr>
        <w:t>分。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bookmarkStart w:id="10" w:name="_GoBack"/>
      <w:bookmarkEnd w:id="10"/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5"/>
        <w:tblW w:w="80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04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本项目所在地气候分区为寒冷（A）区，建筑朝向为东西向，布局合理，满足国家节能标准。建筑窗墙比均满足国家节能标准。建筑布局充分考虑了风环境的要求，避开了主导风向，夏季利于自然通风。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）建筑竣工图及设计说明，应包含平面图、立面图、门窗表；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3）室内自然通风优化模拟分析报告：应体现优化前后的通风效果对比。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52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C"/>
    <w:rsid w:val="00074A38"/>
    <w:rsid w:val="000A55DC"/>
    <w:rsid w:val="003B0A22"/>
    <w:rsid w:val="00891F79"/>
    <w:rsid w:val="008C6893"/>
    <w:rsid w:val="008D6249"/>
    <w:rsid w:val="008F70A4"/>
    <w:rsid w:val="00BB353A"/>
    <w:rsid w:val="00C15C97"/>
    <w:rsid w:val="00F1754C"/>
    <w:rsid w:val="02C427A3"/>
    <w:rsid w:val="0CD83F97"/>
    <w:rsid w:val="42F05606"/>
    <w:rsid w:val="7791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4"/>
    <w:next w:val="1"/>
    <w:link w:val="13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4 Char"/>
    <w:basedOn w:val="10"/>
    <w:link w:val="5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4">
    <w:name w:val="Placeholder Text"/>
    <w:basedOn w:val="10"/>
    <w:semiHidden/>
    <w:qFormat/>
    <w:uiPriority w:val="99"/>
    <w:rPr>
      <w:color w:val="808080"/>
    </w:rPr>
  </w:style>
  <w:style w:type="table" w:customStyle="1" w:styleId="15">
    <w:name w:val="网格型1"/>
    <w:basedOn w:val="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样式1"/>
    <w:basedOn w:val="10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10"/>
    <w:link w:val="4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675B02D5BE64496B9DB38A345752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71C495-CBA7-452F-A9A9-35DB44DBDA6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1F3B7-E114-4D3E-9CB8-5D0A8714B07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491062"/>
    <w:rsid w:val="004D1AB4"/>
    <w:rsid w:val="00522EBD"/>
    <w:rsid w:val="007C2105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675B02D5BE64496B9DB38A345752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32E037B2CFA4E9C817A8CE128C923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41A5458ABCA4FC0BC8C8BF52C243F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868</Characters>
  <Lines>7</Lines>
  <Paragraphs>2</Paragraphs>
  <TotalTime>1</TotalTime>
  <ScaleCrop>false</ScaleCrop>
  <LinksUpToDate>false</LinksUpToDate>
  <CharactersWithSpaces>1018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&amp; 燕儿.</cp:lastModifiedBy>
  <dcterms:modified xsi:type="dcterms:W3CDTF">2022-03-12T12:33:49Z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