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rPr>
          <w:rFonts w:eastAsiaTheme="minorEastAsia"/>
          <w:sz w:val="24"/>
          <w:szCs w:val="40"/>
        </w:rPr>
      </w:pPr>
      <w:r>
        <w:rPr>
          <w:rFonts w:eastAsiaTheme="minorEastAsia"/>
          <w:sz w:val="24"/>
          <w:szCs w:val="40"/>
        </w:rPr>
        <w:t>5.2.9</w:t>
      </w:r>
      <w:r>
        <w:rPr>
          <w:rFonts w:hint="eastAsia" w:eastAsiaTheme="minorEastAsia"/>
          <w:sz w:val="24"/>
          <w:szCs w:val="40"/>
        </w:rPr>
        <w:t xml:space="preserve"> </w:t>
      </w:r>
      <w:r>
        <w:rPr>
          <w:rFonts w:eastAsiaTheme="minorEastAsia"/>
          <w:sz w:val="24"/>
          <w:szCs w:val="40"/>
        </w:rPr>
        <w:t>具有良好的室内热湿环境。（8分）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211"/>
        <w:gridCol w:w="1077"/>
        <w:gridCol w:w="157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2659" w:type="pct"/>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977" w:type="pct"/>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874" w:type="pct"/>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90" w:type="pct"/>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1991" w:type="pct"/>
            <w:vMerge w:val="restart"/>
            <w:vAlign w:val="center"/>
          </w:tcPr>
          <w:p>
            <w:pPr>
              <w:jc w:val="left"/>
              <w:rPr>
                <w:rFonts w:ascii="Times New Roman" w:hAnsi="Times New Roman" w:cs="Times New Roman"/>
                <w:szCs w:val="21"/>
              </w:rPr>
            </w:pPr>
            <w:r>
              <w:rPr>
                <w:rFonts w:hint="eastAsia" w:ascii="宋体" w:hAnsi="宋体" w:eastAsia="宋体" w:cs="Times New Roman"/>
                <w:szCs w:val="21"/>
              </w:rPr>
              <w:sym w:font="Wingdings 2" w:char="0052"/>
            </w:r>
            <w:r>
              <w:rPr>
                <w:rFonts w:ascii="Times New Roman" w:hAnsi="Times New Roman" w:cs="Times New Roman"/>
                <w:szCs w:val="21"/>
              </w:rPr>
              <w:t>自然通风、复合通风：</w:t>
            </w:r>
          </w:p>
          <w:p>
            <w:pPr>
              <w:jc w:val="left"/>
              <w:rPr>
                <w:rFonts w:ascii="Times New Roman" w:hAnsi="Times New Roman" w:cs="Times New Roman"/>
                <w:szCs w:val="21"/>
              </w:rPr>
            </w:pPr>
            <w:r>
              <w:rPr>
                <w:rFonts w:ascii="Times New Roman" w:hAnsi="Times New Roman" w:cs="Times New Roman"/>
                <w:szCs w:val="21"/>
              </w:rPr>
              <w:t>主要功能房间室内热环境参数在适应性热舒适区域的时间比例</w:t>
            </w: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30%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sdt>
          <w:sdtPr>
            <w:rPr>
              <w:rFonts w:hint="default" w:ascii="Times New Roman" w:hAnsi="Times New Roman" w:eastAsia="宋体" w:cs="Times New Roman"/>
              <w:szCs w:val="21"/>
              <w:lang w:val="en-US"/>
            </w:rPr>
            <w:id w:val="2005000710"/>
            <w:placeholder>
              <w:docPart w:val="416ECF8F39514051976851404AD8E9ED"/>
            </w:placeholder>
            <w:text/>
          </w:sdtPr>
          <w:sdtEndPr>
            <w:rPr>
              <w:rFonts w:hint="eastAsia" w:ascii="Times New Roman" w:hAnsi="Times New Roman" w:eastAsia="宋体" w:cs="Times New Roman"/>
              <w:szCs w:val="21"/>
            </w:rPr>
          </w:sdtEndPr>
          <w:sdtContent>
            <w:tc>
              <w:tcPr>
                <w:tcW w:w="874" w:type="pct"/>
                <w:vMerge w:val="restar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70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40%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50%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5</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60%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70%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7</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80%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8</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left"/>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90%及以上</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9</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pct"/>
            <w:vMerge w:val="restart"/>
            <w:vAlign w:val="center"/>
          </w:tcPr>
          <w:p>
            <w:pPr>
              <w:jc w:val="center"/>
              <w:rPr>
                <w:rFonts w:ascii="Times New Roman" w:hAnsi="Times New Roman" w:cs="Times New Roman"/>
                <w:szCs w:val="21"/>
              </w:rPr>
            </w:pPr>
            <w:r>
              <w:rPr>
                <w:rFonts w:ascii="Times New Roman" w:hAnsi="Times New Roman" w:cs="Times New Roman"/>
                <w:szCs w:val="21"/>
              </w:rPr>
              <w:t>2</w:t>
            </w:r>
          </w:p>
        </w:tc>
        <w:tc>
          <w:tcPr>
            <w:tcW w:w="1991" w:type="pct"/>
            <w:vMerge w:val="restart"/>
            <w:vAlign w:val="center"/>
          </w:tcPr>
          <w:p>
            <w:pPr>
              <w:jc w:val="left"/>
              <w:rPr>
                <w:rFonts w:ascii="Times New Roman" w:hAnsi="Times New Roman" w:cs="Times New Roman"/>
                <w:szCs w:val="21"/>
              </w:rPr>
            </w:pPr>
            <w:r>
              <w:rPr>
                <w:rFonts w:hint="eastAsia" w:ascii="宋体" w:hAnsi="宋体" w:eastAsia="宋体" w:cs="Times New Roman"/>
                <w:szCs w:val="21"/>
              </w:rPr>
              <w:sym w:font="Wingdings 2" w:char="0052"/>
            </w:r>
            <w:r>
              <w:rPr>
                <w:rFonts w:ascii="Times New Roman" w:hAnsi="Times New Roman" w:cs="Times New Roman"/>
                <w:szCs w:val="21"/>
              </w:rPr>
              <w:t>人工冷热源：</w:t>
            </w:r>
          </w:p>
          <w:p>
            <w:pPr>
              <w:jc w:val="left"/>
              <w:rPr>
                <w:rFonts w:ascii="Times New Roman" w:hAnsi="Times New Roman" w:cs="Times New Roman"/>
                <w:szCs w:val="21"/>
              </w:rPr>
            </w:pPr>
            <w:r>
              <w:rPr>
                <w:rFonts w:ascii="Times New Roman" w:hAnsi="Times New Roman" w:cs="Times New Roman"/>
                <w:szCs w:val="21"/>
              </w:rPr>
              <w:t>主要功能房间达到现行国家标准《民用建筑室内热湿环境评价标准》规定的室内人工冷热源热湿环境整体评价II级面积比例</w:t>
            </w: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60%</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center"/>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80</w:t>
            </w:r>
            <w:r>
              <w:rPr>
                <w:rFonts w:ascii="Times New Roman" w:hAnsi="Times New Roman" w:cs="Times New Roman"/>
                <w:szCs w:val="21"/>
              </w:rPr>
              <w:t>%</w:t>
            </w:r>
          </w:p>
        </w:tc>
        <w:tc>
          <w:tcPr>
            <w:tcW w:w="977"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8</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center"/>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80%</w:t>
            </w:r>
          </w:p>
        </w:tc>
        <w:tc>
          <w:tcPr>
            <w:tcW w:w="977" w:type="pct"/>
            <w:vAlign w:val="center"/>
          </w:tcPr>
          <w:p>
            <w:pPr>
              <w:jc w:val="center"/>
              <w:rPr>
                <w:rFonts w:ascii="Times New Roman" w:hAnsi="Times New Roman" w:cs="Times New Roman"/>
                <w:szCs w:val="21"/>
              </w:rPr>
            </w:pPr>
            <w:r>
              <w:rPr>
                <w:rFonts w:ascii="Times New Roman" w:hAnsi="Times New Roman" w:cs="Times New Roman"/>
                <w:szCs w:val="21"/>
              </w:rPr>
              <w:t>7</w:t>
            </w:r>
          </w:p>
        </w:tc>
        <w:tc>
          <w:tcPr>
            <w:tcW w:w="874"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pPr>
              <w:jc w:val="center"/>
              <w:rPr>
                <w:rFonts w:ascii="Times New Roman" w:hAnsi="Times New Roman" w:cs="Times New Roman"/>
                <w:szCs w:val="21"/>
              </w:rPr>
            </w:pPr>
          </w:p>
        </w:tc>
        <w:tc>
          <w:tcPr>
            <w:tcW w:w="1991" w:type="pct"/>
            <w:vMerge w:val="continue"/>
            <w:vAlign w:val="center"/>
          </w:tcPr>
          <w:p>
            <w:pPr>
              <w:jc w:val="center"/>
              <w:rPr>
                <w:rFonts w:ascii="Times New Roman" w:hAnsi="Times New Roman" w:cs="Times New Roman"/>
                <w:szCs w:val="21"/>
              </w:rPr>
            </w:pPr>
          </w:p>
        </w:tc>
        <w:tc>
          <w:tcPr>
            <w:tcW w:w="668" w:type="pct"/>
            <w:vAlign w:val="center"/>
          </w:tcPr>
          <w:p>
            <w:pPr>
              <w:jc w:val="center"/>
              <w:rPr>
                <w:rFonts w:ascii="Times New Roman" w:hAnsi="Times New Roman" w:cs="Times New Roman"/>
                <w:szCs w:val="21"/>
              </w:rPr>
            </w:pPr>
            <w:r>
              <w:rPr>
                <w:rFonts w:ascii="Times New Roman" w:hAnsi="Times New Roman" w:cs="Times New Roman"/>
                <w:szCs w:val="21"/>
              </w:rPr>
              <w:t>90%</w:t>
            </w:r>
          </w:p>
        </w:tc>
        <w:tc>
          <w:tcPr>
            <w:tcW w:w="977" w:type="pct"/>
            <w:vAlign w:val="center"/>
          </w:tcPr>
          <w:p>
            <w:pPr>
              <w:jc w:val="center"/>
              <w:rPr>
                <w:rFonts w:ascii="Times New Roman" w:hAnsi="Times New Roman" w:cs="Times New Roman"/>
                <w:szCs w:val="21"/>
              </w:rPr>
            </w:pPr>
            <w:r>
              <w:rPr>
                <w:rFonts w:ascii="Times New Roman" w:hAnsi="Times New Roman" w:cs="Times New Roman"/>
                <w:szCs w:val="21"/>
              </w:rPr>
              <w:t>8</w:t>
            </w:r>
          </w:p>
        </w:tc>
        <w:tc>
          <w:tcPr>
            <w:tcW w:w="874" w:type="pct"/>
            <w:vMerge w:val="continue"/>
            <w:vAlign w:val="center"/>
          </w:tcPr>
          <w:p>
            <w:pPr>
              <w:jc w:val="center"/>
              <w:rPr>
                <w:rFonts w:ascii="Times New Roman" w:hAnsi="Times New Roman"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请对室内热湿环境及热舒适保持时间进行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jc w:val="center"/>
        </w:trPr>
        <w:tc>
          <w:tcPr>
            <w:tcW w:w="9356" w:type="dxa"/>
          </w:tcPr>
          <w:p>
            <w:pPr>
              <w:ind w:firstLine="412" w:firstLineChars="200"/>
              <w:rPr>
                <w:rFonts w:ascii="Times New Roman" w:hAnsi="Times New Roman" w:eastAsia="宋体" w:cs="Times New Roman"/>
                <w:kern w:val="0"/>
                <w:sz w:val="20"/>
                <w:szCs w:val="21"/>
              </w:rPr>
            </w:pPr>
            <w:r>
              <w:rPr>
                <w:rFonts w:hint="eastAsia" w:ascii="Helvetica" w:hAnsi="Helvetica" w:eastAsia="Helvetica" w:cs="Helvetica"/>
                <w:i w:val="0"/>
                <w:iCs w:val="0"/>
                <w:caps w:val="0"/>
                <w:color w:val="444444"/>
                <w:spacing w:val="7"/>
                <w:sz w:val="19"/>
                <w:szCs w:val="19"/>
                <w:shd w:val="clear" w:fill="FFFFFF"/>
              </w:rPr>
              <w:t>对于采用自然通风，以建筑物内主要功能房间或区域为对象，以全年建筑运行时间为评价范围，按主要功能房间或区域的面积加权计算满足舒适性热舒适区间的时间百分比。建筑主要功能房间室内热环境参数在适应性热舒适区域的时间比例指，主要功能房间室内温度达到适应性舒适温度区间的小时数占建筑全年运行小时数的比例。适应性热舒适温度区间可根据室外月平均温度进行计算。室内平均气流速度</w:t>
            </w:r>
            <w:r>
              <w:rPr>
                <w:rFonts w:hint="default" w:ascii="Helvetica" w:hAnsi="Helvetica" w:eastAsia="Helvetica" w:cs="Helvetica"/>
                <w:i w:val="0"/>
                <w:iCs w:val="0"/>
                <w:caps w:val="0"/>
                <w:color w:val="444444"/>
                <w:spacing w:val="7"/>
                <w:sz w:val="16"/>
                <w:szCs w:val="16"/>
                <w:bdr w:val="none" w:color="auto" w:sz="0" w:space="0"/>
              </w:rPr>
              <w:t>Va≤</w:t>
            </w:r>
            <w:r>
              <w:rPr>
                <w:rFonts w:hint="default" w:ascii="Helvetica" w:hAnsi="Helvetica" w:eastAsia="Helvetica" w:cs="Helvetica"/>
                <w:i w:val="0"/>
                <w:iCs w:val="0"/>
                <w:caps w:val="0"/>
                <w:color w:val="444444"/>
                <w:spacing w:val="7"/>
                <w:sz w:val="19"/>
                <w:szCs w:val="19"/>
                <w:shd w:val="clear" w:fill="FFFFFF"/>
              </w:rPr>
              <w:t>0.3m/s。室内温度高于25℃时采用提高气流速度的方式来补偿室内温度的上升，即室内舒适温度上限可进一步提高。</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）暖通</w:t>
      </w:r>
      <w:r>
        <w:rPr>
          <w:rFonts w:ascii="Times New Roman" w:hAnsi="Times New Roman" w:eastAsia="宋体" w:cs="Times New Roman"/>
          <w:szCs w:val="21"/>
        </w:rPr>
        <w:t>竣工图</w:t>
      </w:r>
      <w:r>
        <w:rPr>
          <w:rFonts w:hint="eastAsia" w:ascii="Times New Roman" w:hAnsi="Times New Roman" w:eastAsia="宋体" w:cs="Times New Roman"/>
          <w:szCs w:val="21"/>
        </w:rPr>
        <w:t>及设计说明</w:t>
      </w:r>
      <w:r>
        <w:rPr>
          <w:rFonts w:ascii="Times New Roman" w:hAnsi="Times New Roman" w:eastAsia="宋体" w:cs="Times New Roman"/>
          <w:szCs w:val="21"/>
        </w:rPr>
        <w:t>、</w:t>
      </w:r>
      <w:r>
        <w:rPr>
          <w:rFonts w:hint="eastAsia" w:ascii="Times New Roman" w:hAnsi="Times New Roman" w:eastAsia="宋体" w:cs="Times New Roman"/>
          <w:szCs w:val="21"/>
        </w:rPr>
        <w:t>室内温度模拟分析报告和舒适温度预计达标比例分析报告；</w:t>
      </w:r>
    </w:p>
    <w:p>
      <w:pPr>
        <w:rPr>
          <w:rFonts w:ascii="Times New Roman" w:hAnsi="Times New Roman" w:eastAsia="宋体" w:cs="Times New Roman"/>
          <w:szCs w:val="21"/>
        </w:rPr>
      </w:pPr>
      <w:r>
        <w:rPr>
          <w:rFonts w:hint="eastAsia" w:ascii="Times New Roman" w:hAnsi="Times New Roman" w:eastAsia="宋体" w:cs="Times New Roman"/>
          <w:szCs w:val="21"/>
        </w:rPr>
        <w:t>2）预计达标比例计算报告或室内热湿环境实测值及PMV和PPD达标比例计算报告；</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室内温度模拟分析报告；</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）舒适温度预计达标比例分析报告。</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9"/>
    <w:rsid w:val="00074A38"/>
    <w:rsid w:val="002D352E"/>
    <w:rsid w:val="006B4DEB"/>
    <w:rsid w:val="006C3B50"/>
    <w:rsid w:val="00916669"/>
    <w:rsid w:val="00E33D0B"/>
    <w:rsid w:val="06A4236F"/>
    <w:rsid w:val="378943E5"/>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4 Char"/>
    <w:basedOn w:val="9"/>
    <w:link w:val="3"/>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uiPriority w:val="1"/>
    <w:rPr>
      <w:rFonts w:eastAsiaTheme="minorEastAsia"/>
      <w:sz w:val="21"/>
    </w:rPr>
  </w:style>
  <w:style w:type="character" w:customStyle="1" w:styleId="16">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6ECF8F39514051976851404AD8E9ED"/>
        <w:style w:val=""/>
        <w:category>
          <w:name w:val="常规"/>
          <w:gallery w:val="placeholder"/>
        </w:category>
        <w:types>
          <w:type w:val="bbPlcHdr"/>
        </w:types>
        <w:behaviors>
          <w:behavior w:val="content"/>
        </w:behaviors>
        <w:description w:val=""/>
        <w:guid w:val="{8426BEC5-8450-4A6B-A7DD-0721268C3AC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21"/>
    <w:rsid w:val="006B0DD9"/>
    <w:rsid w:val="00751386"/>
    <w:rsid w:val="00901E7A"/>
    <w:rsid w:val="00AF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6ECF8F39514051976851404AD8E9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6FA6BF60D5E4C0C8F37E31379BC94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BBD57EAF714CB19FE1F8380E710A0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Lines>3</Lines>
  <Paragraphs>1</Paragraphs>
  <TotalTime>22</TotalTime>
  <ScaleCrop>false</ScaleCrop>
  <LinksUpToDate>false</LinksUpToDate>
  <CharactersWithSpaces>441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2019-07-12T07:54:00Z</dcterms:created>
  <dc:creator>dongYP</dc:creator>
  <cp:lastModifiedBy>颜皇</cp:lastModifiedBy>
  <dcterms:modified xsi:type="dcterms:W3CDTF">2022-03-10T12:25:42Z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29926A6590654236AE7DD8E7A210A346</vt:lpwstr>
  </property>
</Properties>
</file>