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1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</w:rPr>
              <w:t>建筑内的信息网络系统分为业务信息网和智能化设施信息网，包括物理线缆层、网络交换层、安全及安全管理系统、运行维护管理系统五部分，支持建筑内语音、数据、图像等多种类信息的传输。系统和信息的安全， 是系统正常运行的前提，一定要保证。建筑内信息网络系统与建筑物外其他信息网互联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  <w:lang w:eastAsia="zh-CN"/>
              </w:rPr>
              <w:t>，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</w:rPr>
              <w:t>采取信息安全防范措施，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  <w:lang w:val="en-US" w:eastAsia="zh-CN"/>
              </w:rPr>
              <w:t>能够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7"/>
                <w:sz w:val="19"/>
                <w:szCs w:val="19"/>
                <w:shd w:val="clear" w:fill="FFFFFF"/>
              </w:rPr>
              <w:t>确保信息网络系统安全、稳定和可靠。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55B32794"/>
    <w:rsid w:val="6F88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4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颜皇</cp:lastModifiedBy>
  <dcterms:modified xsi:type="dcterms:W3CDTF">2022-03-10T12:40:35Z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0E54FCCF265B48E7A757B81DA8B11017</vt:lpwstr>
  </property>
</Properties>
</file>