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w:t>
      </w:r>
      <w:r>
        <w:rPr>
          <w:sz w:val="24"/>
          <w:szCs w:val="40"/>
        </w:rPr>
        <w:t xml:space="preserve">3 </w:t>
      </w:r>
      <w:r>
        <w:rPr>
          <w:rFonts w:hint="eastAsia"/>
          <w:sz w:val="24"/>
          <w:szCs w:val="40"/>
        </w:rPr>
        <w:t>应根据建筑空间功能设置分区温度，合理降低室内过渡区空间的温度设定标准。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59854111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eastAsiaTheme="majorEastAsia"/>
        </w:rPr>
      </w:pPr>
      <w:r>
        <w:rPr>
          <w:rFonts w:hint="eastAsia" w:ascii="Times New Roman" w:hAnsi="Times New Roman" w:cs="Times New Roman" w:eastAsiaTheme="majorEastAsia"/>
        </w:rPr>
        <w:t>长期逗留区域空气调节室内参数：</w:t>
      </w:r>
    </w:p>
    <w:tbl>
      <w:tblPr>
        <w:tblStyle w:val="9"/>
        <w:tblW w:w="4862" w:type="pct"/>
        <w:jc w:val="center"/>
        <w:tblLayout w:type="autofit"/>
        <w:tblCellMar>
          <w:top w:w="0" w:type="dxa"/>
          <w:left w:w="108" w:type="dxa"/>
          <w:bottom w:w="0" w:type="dxa"/>
          <w:right w:w="108" w:type="dxa"/>
        </w:tblCellMar>
      </w:tblPr>
      <w:tblGrid>
        <w:gridCol w:w="1304"/>
        <w:gridCol w:w="1583"/>
        <w:gridCol w:w="1771"/>
        <w:gridCol w:w="1840"/>
        <w:gridCol w:w="1789"/>
      </w:tblGrid>
      <w:tr>
        <w:trPr>
          <w:trHeight w:val="211"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参数</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舒</w:t>
            </w:r>
            <w:bookmarkStart w:id="0" w:name="_GoBack"/>
            <w:bookmarkEnd w:id="0"/>
            <w:r>
              <w:rPr>
                <w:rFonts w:ascii="Times New Roman" w:hAnsi="Times New Roman" w:cs="Times New Roman"/>
              </w:rPr>
              <w:t>适度等级</w:t>
            </w: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温度(</w:t>
            </w:r>
            <w:r>
              <w:rPr>
                <w:rFonts w:hint="eastAsia" w:ascii="宋体" w:hAnsi="宋体" w:eastAsia="宋体" w:cs="宋体"/>
              </w:rPr>
              <w:t>℃</w:t>
            </w:r>
            <w:r>
              <w:rPr>
                <w:rFonts w:ascii="Times New Roman" w:hAnsi="Times New Roman" w:cs="Times New Roman"/>
              </w:rPr>
              <w:t>)</w:t>
            </w: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相对湿度(%)</w:t>
            </w: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风速(m/s)</w:t>
            </w:r>
          </w:p>
        </w:tc>
      </w:tr>
      <w:tr>
        <w:trPr>
          <w:trHeight w:val="175"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冬季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r>
      <w:tr>
        <w:trPr>
          <w:trHeight w:val="300"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夏季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r>
    </w:tbl>
    <w:p>
      <w:pPr>
        <w:rPr>
          <w:rFonts w:cs="宋体"/>
        </w:rPr>
      </w:pPr>
      <w:r>
        <w:rPr>
          <w:rFonts w:hint="eastAsia" w:ascii="Times New Roman" w:hAnsi="Times New Roman" w:cs="Times New Roman" w:eastAsiaTheme="majorEastAsia"/>
        </w:rPr>
        <w:t>过渡空间空气调节室内参数：</w:t>
      </w:r>
    </w:p>
    <w:p>
      <w:pPr>
        <w:rPr>
          <w:rFonts w:ascii="Times New Roman" w:hAnsi="Times New Roman" w:cs="Times New Roman" w:eastAsiaTheme="majorEastAsia"/>
          <w:u w:val="single"/>
        </w:rPr>
      </w:pPr>
      <w:r>
        <w:rPr>
          <w:rFonts w:hint="eastAsia" w:ascii="Times New Roman" w:hAnsi="Times New Roman" w:cs="Times New Roman" w:eastAsiaTheme="majorEastAsia"/>
        </w:rPr>
        <w:t>活动类型：</w:t>
      </w:r>
      <w:r>
        <w:rPr>
          <w:rFonts w:hint="eastAsia" w:ascii="Times New Roman" w:hAnsi="Times New Roman" w:cs="Times New Roman" w:eastAsiaTheme="majorEastAsia"/>
          <w:u w:val="single"/>
        </w:rPr>
        <w:t xml:space="preserve">  </w:t>
      </w:r>
      <w:sdt>
        <w:sdtPr>
          <w:rPr>
            <w:rFonts w:hint="eastAsia" w:ascii="Times New Roman" w:hAnsi="Times New Roman" w:cs="Times New Roman" w:eastAsiaTheme="majorEastAsia"/>
            <w:u w:val="single"/>
          </w:rPr>
          <w:id w:val="0"/>
          <w:placeholder>
            <w:docPart w:val="91872A66F84D42C4A142E651649B243E"/>
          </w:placeholder>
          <w:text/>
        </w:sdtPr>
        <w:sdtEndPr>
          <w:rPr>
            <w:rFonts w:hint="eastAsia" w:ascii="Times New Roman" w:hAnsi="Times New Roman" w:cs="Times New Roman" w:eastAsiaTheme="majorEastAsia"/>
            <w:u w:val="single"/>
          </w:rPr>
        </w:sdtEndPr>
        <w:sdtContent>
          <w:r>
            <w:rPr>
              <w:rFonts w:hint="eastAsia" w:ascii="Times New Roman" w:hAnsi="Times New Roman" w:cs="Times New Roman" w:eastAsiaTheme="majorEastAsia"/>
              <w:u w:val="single"/>
            </w:rPr>
            <w:t xml:space="preserve">               </w:t>
          </w:r>
        </w:sdtContent>
      </w:sdt>
      <w:r>
        <w:rPr>
          <w:rFonts w:hint="eastAsia" w:ascii="Times New Roman" w:hAnsi="Times New Roman" w:cs="Times New Roman" w:eastAsiaTheme="majorEastAsia"/>
          <w:u w:val="single"/>
        </w:rPr>
        <w:t xml:space="preserve">  </w:t>
      </w:r>
      <w:r>
        <w:rPr>
          <w:rFonts w:hint="eastAsia" w:ascii="Times New Roman" w:hAnsi="Times New Roman" w:cs="Times New Roman" w:eastAsiaTheme="majorEastAsia"/>
        </w:rPr>
        <w:t>代谢率：</w:t>
      </w:r>
      <w:r>
        <w:rPr>
          <w:rFonts w:hint="eastAsia" w:ascii="Times New Roman" w:hAnsi="Times New Roman" w:cs="Times New Roman" w:eastAsiaTheme="majorEastAsia"/>
          <w:u w:val="single"/>
        </w:rPr>
        <w:t xml:space="preserve">  </w:t>
      </w:r>
      <w:sdt>
        <w:sdtPr>
          <w:rPr>
            <w:rFonts w:hint="eastAsia" w:ascii="Times New Roman" w:hAnsi="Times New Roman" w:cs="Times New Roman" w:eastAsiaTheme="majorEastAsia"/>
            <w:u w:val="single"/>
          </w:rPr>
          <w:id w:val="165609577"/>
          <w:placeholder>
            <w:docPart w:val="69CE9319BBF9493B8F1935BCB4B525C7"/>
          </w:placeholder>
          <w:text/>
        </w:sdtPr>
        <w:sdtEndPr>
          <w:rPr>
            <w:rFonts w:hint="eastAsia" w:ascii="Times New Roman" w:hAnsi="Times New Roman" w:cs="Times New Roman" w:eastAsiaTheme="majorEastAsia"/>
            <w:u w:val="single"/>
          </w:rPr>
        </w:sdtEndPr>
        <w:sdtContent>
          <w:r>
            <w:rPr>
              <w:rFonts w:hint="eastAsia" w:ascii="Times New Roman" w:hAnsi="Times New Roman" w:cs="Times New Roman" w:eastAsiaTheme="majorEastAsia"/>
              <w:u w:val="single"/>
            </w:rPr>
            <w:t xml:space="preserve">             </w:t>
          </w:r>
        </w:sdtContent>
      </w:sdt>
      <w:r>
        <w:rPr>
          <w:rFonts w:hint="eastAsia" w:ascii="Times New Roman" w:hAnsi="Times New Roman" w:cs="Times New Roman" w:eastAsiaTheme="majorEastAsia"/>
          <w:u w:val="single"/>
        </w:rPr>
        <w:t xml:space="preserve">  </w:t>
      </w:r>
      <w:r>
        <w:rPr>
          <w:rFonts w:hint="eastAsia" w:ascii="Times New Roman" w:hAnsi="Times New Roman" w:cs="Times New Roman" w:eastAsiaTheme="majorEastAsia"/>
        </w:rPr>
        <w:t>冬季温度设定：</w:t>
      </w:r>
      <w:r>
        <w:rPr>
          <w:rFonts w:hint="eastAsia" w:ascii="Times New Roman" w:hAnsi="Times New Roman" w:cs="Times New Roman" w:eastAsiaTheme="majorEastAsia"/>
          <w:u w:val="single"/>
        </w:rPr>
        <w:t xml:space="preserve">  </w:t>
      </w:r>
      <w:sdt>
        <w:sdtPr>
          <w:rPr>
            <w:rFonts w:hint="eastAsia" w:ascii="Times New Roman" w:hAnsi="Times New Roman" w:cs="Times New Roman" w:eastAsiaTheme="majorEastAsia"/>
            <w:u w:val="single"/>
          </w:rPr>
          <w:id w:val="1175540182"/>
          <w:placeholder>
            <w:docPart w:val="949C27188AF34F4B9772602739DAE011"/>
          </w:placeholder>
          <w:text/>
        </w:sdtPr>
        <w:sdtEndPr>
          <w:rPr>
            <w:rFonts w:hint="eastAsia" w:ascii="Times New Roman" w:hAnsi="Times New Roman" w:cs="Times New Roman" w:eastAsiaTheme="majorEastAsia"/>
            <w:u w:val="single"/>
          </w:rPr>
        </w:sdtEndPr>
        <w:sdtContent>
          <w:r>
            <w:rPr>
              <w:rFonts w:hint="eastAsia" w:ascii="Times New Roman" w:hAnsi="Times New Roman" w:cs="Times New Roman" w:eastAsiaTheme="majorEastAsia"/>
              <w:u w:val="single"/>
            </w:rPr>
            <w:t xml:space="preserve">       </w:t>
          </w:r>
        </w:sdtContent>
      </w:sdt>
      <w:r>
        <w:rPr>
          <w:rFonts w:hint="eastAsia" w:ascii="Times New Roman" w:hAnsi="Times New Roman" w:cs="Times New Roman" w:eastAsiaTheme="majorEastAsia"/>
          <w:u w:val="single"/>
        </w:rPr>
        <w:t xml:space="preserve"> </w:t>
      </w:r>
    </w:p>
    <w:tbl>
      <w:tblPr>
        <w:tblStyle w:val="9"/>
        <w:tblW w:w="4862" w:type="pct"/>
        <w:jc w:val="center"/>
        <w:tblLayout w:type="autofit"/>
        <w:tblCellMar>
          <w:top w:w="0" w:type="dxa"/>
          <w:left w:w="108" w:type="dxa"/>
          <w:bottom w:w="0" w:type="dxa"/>
          <w:right w:w="108" w:type="dxa"/>
        </w:tblCellMar>
      </w:tblPr>
      <w:tblGrid>
        <w:gridCol w:w="1304"/>
        <w:gridCol w:w="1583"/>
        <w:gridCol w:w="1771"/>
        <w:gridCol w:w="1840"/>
        <w:gridCol w:w="1789"/>
      </w:tblGrid>
      <w:tr>
        <w:trPr>
          <w:trHeight w:val="211"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参数</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舒适度等级</w:t>
            </w: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温度(</w:t>
            </w:r>
            <w:r>
              <w:rPr>
                <w:rFonts w:hint="eastAsia" w:ascii="宋体" w:hAnsi="宋体" w:eastAsia="宋体" w:cs="宋体"/>
              </w:rPr>
              <w:t>℃</w:t>
            </w:r>
            <w:r>
              <w:rPr>
                <w:rFonts w:ascii="Times New Roman" w:hAnsi="Times New Roman" w:cs="Times New Roman"/>
              </w:rPr>
              <w:t>)</w:t>
            </w: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相对湿度(%)</w:t>
            </w: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风速(m/s)</w:t>
            </w:r>
          </w:p>
        </w:tc>
      </w:tr>
      <w:tr>
        <w:trPr>
          <w:trHeight w:val="175"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冬季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r>
      <w:tr>
        <w:trPr>
          <w:trHeight w:val="300"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r>
              <w:rPr>
                <w:rFonts w:ascii="Times New Roman" w:hAnsi="Times New Roman" w:cs="Times New Roman"/>
              </w:rPr>
              <w:t>夏季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cs="Times New Roman"/>
              </w:rPr>
            </w:pPr>
          </w:p>
        </w:tc>
      </w:tr>
    </w:tbl>
    <w:p>
      <w:pPr>
        <w:rPr>
          <w:rFonts w:ascii="Times New Roman" w:hAnsi="Times New Roman" w:cs="Times New Roman" w:eastAsiaTheme="majorEastAsia"/>
        </w:rPr>
      </w:pPr>
      <w:r>
        <w:rPr>
          <w:rFonts w:hint="eastAsia" w:ascii="Times New Roman" w:hAnsi="Times New Roman" w:cs="Times New Roman" w:eastAsiaTheme="majorEastAsia"/>
        </w:rPr>
        <w:t>请简要说明根据建筑空间功能的不同，</w:t>
      </w:r>
      <w:r>
        <w:rPr>
          <w:rFonts w:ascii="Times New Roman" w:hAnsi="Times New Roman" w:cs="Times New Roman" w:eastAsiaTheme="majorEastAsia"/>
        </w:rPr>
        <w:t>分区温度</w:t>
      </w:r>
      <w:r>
        <w:rPr>
          <w:rFonts w:hint="eastAsia" w:ascii="Times New Roman" w:hAnsi="Times New Roman" w:cs="Times New Roman" w:eastAsiaTheme="majorEastAsia"/>
        </w:rPr>
        <w:t>的设置情况。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1" w:hRule="atLeast"/>
          <w:jc w:val="center"/>
        </w:trPr>
        <w:tc>
          <w:tcPr>
            <w:tcW w:w="8272"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7资源节约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7.1控制项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7.1.3应根据建筑空间功能设置分区温度，合理降低室内过渡区空间的温度设定标准。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【条文说明扩展】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室内过渡空间是指门厅、中庭、走廊以及高大空间中超出人员活动范围的空间，由于其较少或没有人员停留，或人员停留时间较短，可适当降低温度标准。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《民用建筑供暖通风与空调设计规范》GB 50736-2012规定：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3.0.2(2)人员短期逗留区域空调供冷工况室内设计参数宜比长期逗留区域提高1 °C~2°C,供热工况宜降低1 °C~2°C。短期逗留区域供冷工况风速不宜大于0.5m/s,供热工况风速不宜大于0.3m/s。</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【具体评价方式】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本条适用于民用建筑的预评价、评价。对于室内过渡空间无需供暖空调的项目，本条直接通过。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预评价查阅暖通专业施工图及设计说明。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预评价查阅暖通空调专业设计说明、暖通设计计算书等设计文件。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评价查阅预评价方式涉及的竣工文件。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【条文解读】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该条文变化情况：新增条文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技术要点：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室内过渡空间：指门厅、中庭、走廊以及高大空间中超出人员活动范围的 空间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评价依据：《民用建筑供暖通风与空调设计规范》GB 50736-2012规定：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3.0.2(2) 人员短期逗留区域空调供冷工况室内设计参数宜比长期逗留区域 提高1℃~2℃，供热工况宜降低1℃~2℃。短期逗留区域供冷工况风速不宜 大于0.5m/s，供热工况风速不宜大于0.3m/s。</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条文评价：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本条直接通过的情况：对于室内过渡空间无需供暖空调的项目。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建议提交材料及技术要求：</w:t>
            </w:r>
          </w:p>
          <w:tbl>
            <w:tblPr>
              <w:tblW w:w="0" w:type="auto"/>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89"/>
              <w:gridCol w:w="3324"/>
              <w:gridCol w:w="1293"/>
              <w:gridCol w:w="1113"/>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Style w:val="8"/>
                      <w:rFonts w:hint="eastAsia" w:ascii="PingFang SC" w:hAnsi="PingFang SC" w:eastAsia="PingFang SC" w:cs="PingFang SC"/>
                      <w:b/>
                      <w:i w:val="0"/>
                      <w:caps w:val="0"/>
                      <w:color w:val="191919"/>
                      <w:spacing w:val="0"/>
                      <w:sz w:val="28"/>
                      <w:szCs w:val="28"/>
                      <w:u w:val="none"/>
                      <w:bdr w:val="none" w:color="auto" w:sz="0" w:space="0"/>
                    </w:rPr>
                    <w:t>专业分类</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Style w:val="8"/>
                      <w:rFonts w:hint="eastAsia" w:ascii="PingFang SC" w:hAnsi="PingFang SC" w:eastAsia="PingFang SC" w:cs="PingFang SC"/>
                      <w:b/>
                      <w:i w:val="0"/>
                      <w:caps w:val="0"/>
                      <w:color w:val="191919"/>
                      <w:spacing w:val="0"/>
                      <w:sz w:val="28"/>
                      <w:szCs w:val="28"/>
                      <w:u w:val="none"/>
                      <w:bdr w:val="none" w:color="auto" w:sz="0" w:space="0"/>
                    </w:rPr>
                    <w:t>材料名称</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Style w:val="8"/>
                      <w:rFonts w:hint="eastAsia" w:ascii="PingFang SC" w:hAnsi="PingFang SC" w:eastAsia="PingFang SC" w:cs="PingFang SC"/>
                      <w:b/>
                      <w:i w:val="0"/>
                      <w:caps w:val="0"/>
                      <w:color w:val="191919"/>
                      <w:spacing w:val="0"/>
                      <w:sz w:val="28"/>
                      <w:szCs w:val="28"/>
                      <w:u w:val="none"/>
                      <w:bdr w:val="none" w:color="auto" w:sz="0" w:space="0"/>
                    </w:rPr>
                    <w:t>技术要求</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Style w:val="8"/>
                      <w:rFonts w:hint="eastAsia" w:ascii="PingFang SC" w:hAnsi="PingFang SC" w:eastAsia="PingFang SC" w:cs="PingFang SC"/>
                      <w:b/>
                      <w:i w:val="0"/>
                      <w:caps w:val="0"/>
                      <w:color w:val="191919"/>
                      <w:spacing w:val="0"/>
                      <w:sz w:val="28"/>
                      <w:szCs w:val="28"/>
                      <w:u w:val="none"/>
                      <w:bdr w:val="none" w:color="auto" w:sz="0" w:space="0"/>
                    </w:rPr>
                    <w:t>评价阶段</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Style w:val="8"/>
                      <w:rFonts w:hint="eastAsia" w:ascii="PingFang SC" w:hAnsi="PingFang SC" w:eastAsia="PingFang SC" w:cs="PingFang SC"/>
                      <w:b/>
                      <w:i w:val="0"/>
                      <w:caps w:val="0"/>
                      <w:color w:val="191919"/>
                      <w:spacing w:val="0"/>
                      <w:sz w:val="28"/>
                      <w:szCs w:val="28"/>
                      <w:u w:val="none"/>
                      <w:bdr w:val="none" w:color="auto" w:sz="0" w:space="0"/>
                    </w:rPr>
                    <w:t>建筑类型</w:t>
                  </w:r>
                  <w:r>
                    <w:rPr>
                      <w:rFonts w:hint="eastAsia" w:ascii="PingFang SC" w:hAnsi="PingFang SC" w:eastAsia="PingFang SC" w:cs="PingFang SC"/>
                      <w:b/>
                      <w:i w:val="0"/>
                      <w:caps w:val="0"/>
                      <w:color w:val="191919"/>
                      <w:spacing w:val="0"/>
                      <w:sz w:val="28"/>
                      <w:szCs w:val="28"/>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暖通设计</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施工图</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应体现分区控制策略</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预评价/评价</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居建/公建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设计说明书</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应说明集中供暖空调系统的室内设计参数，包括房间内的温度、湿度、新风量等以及参照的设计标准</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预评价/评价</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居建/公建</w:t>
                  </w:r>
                </w:p>
              </w:tc>
              <w:tc>
                <w:tcPr>
                  <w:tcW w:w="0" w:type="auto"/>
                  <w:shd w:val="clear"/>
                  <w:vAlign w:val="center"/>
                </w:tcPr>
                <w:p>
                  <w:pPr>
                    <w:jc w:val="left"/>
                    <w:rPr>
                      <w:rFonts w:hint="eastAsia" w:ascii="PingFang SC" w:hAnsi="PingFang SC" w:eastAsia="PingFang SC" w:cs="PingFang SC"/>
                      <w:b w:val="0"/>
                      <w:i w:val="0"/>
                      <w:caps w:val="0"/>
                      <w:color w:val="191919"/>
                      <w:spacing w:val="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暖通设计计算书</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应体现分区控制策略</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预评价/评价</w:t>
                  </w:r>
                </w:p>
              </w:tc>
              <w:tc>
                <w:tcPr>
                  <w:tcW w:w="0" w:type="auto"/>
                  <w:shd w:val="clear" w:color="auto" w:fill="F8F7F3"/>
                  <w:tcMar>
                    <w:top w:w="180" w:type="dxa"/>
                    <w:left w:w="300" w:type="dxa"/>
                    <w:bottom w:w="180" w:type="dxa"/>
                    <w:right w:w="30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line="520" w:lineRule="atLeast"/>
                    <w:ind w:left="0" w:right="0"/>
                    <w:jc w:val="left"/>
                    <w:rPr>
                      <w:sz w:val="28"/>
                      <w:szCs w:val="28"/>
                    </w:rPr>
                  </w:pPr>
                  <w:r>
                    <w:rPr>
                      <w:rFonts w:hint="eastAsia" w:ascii="PingFang SC" w:hAnsi="PingFang SC" w:eastAsia="PingFang SC" w:cs="PingFang SC"/>
                      <w:b w:val="0"/>
                      <w:i w:val="0"/>
                      <w:caps w:val="0"/>
                      <w:color w:val="191919"/>
                      <w:spacing w:val="0"/>
                      <w:sz w:val="28"/>
                      <w:szCs w:val="28"/>
                      <w:u w:val="none"/>
                      <w:bdr w:val="none" w:color="auto" w:sz="0" w:space="0"/>
                    </w:rPr>
                    <w:t>居建/公建</w:t>
                  </w:r>
                </w:p>
              </w:tc>
              <w:tc>
                <w:tcPr>
                  <w:tcW w:w="0" w:type="auto"/>
                  <w:shd w:val="clear"/>
                  <w:vAlign w:val="center"/>
                </w:tcPr>
                <w:p>
                  <w:pPr>
                    <w:jc w:val="left"/>
                    <w:rPr>
                      <w:rFonts w:hint="eastAsia" w:ascii="PingFang SC" w:hAnsi="PingFang SC" w:eastAsia="PingFang SC" w:cs="PingFang SC"/>
                      <w:b w:val="0"/>
                      <w:i w:val="0"/>
                      <w:caps w:val="0"/>
                      <w:color w:val="191919"/>
                      <w:spacing w:val="0"/>
                      <w:sz w:val="32"/>
                      <w:szCs w:val="32"/>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【施工图审查】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暖通专业：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1.对于室内过渡空间无须供暖空调的项目，本条直接通过。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Fonts w:hint="eastAsia" w:ascii="PingFang SC" w:hAnsi="PingFang SC" w:eastAsia="PingFang SC" w:cs="PingFang SC"/>
                <w:b w:val="0"/>
                <w:i w:val="0"/>
                <w:caps w:val="0"/>
                <w:color w:val="191919"/>
                <w:spacing w:val="0"/>
                <w:sz w:val="32"/>
                <w:szCs w:val="32"/>
                <w:u w:val="none"/>
                <w:bdr w:val="none" w:color="auto" w:sz="0" w:space="0"/>
              </w:rPr>
              <w:t>2.査阅暖通专业设计说明、暖通设计计算书、过渡空间温度控制策略等设计文件。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审查材料：</w:t>
            </w:r>
            <w:r>
              <w:rPr>
                <w:rFonts w:hint="eastAsia" w:ascii="PingFang SC" w:hAnsi="PingFang SC" w:eastAsia="PingFang SC" w:cs="PingFang SC"/>
                <w:b w:val="0"/>
                <w:i w:val="0"/>
                <w:caps w:val="0"/>
                <w:color w:val="191919"/>
                <w:spacing w:val="0"/>
                <w:sz w:val="32"/>
                <w:szCs w:val="32"/>
                <w:u w:val="none"/>
                <w:bdr w:val="none" w:color="auto" w:sz="0" w:space="0"/>
              </w:rPr>
              <w:t>1.通风空调设计说明；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left"/>
              <w:rPr>
                <w:rFonts w:hint="eastAsia" w:ascii="PingFang SC" w:hAnsi="PingFang SC" w:eastAsia="PingFang SC" w:cs="PingFang SC"/>
                <w:b w:val="0"/>
                <w:i w:val="0"/>
                <w:caps w:val="0"/>
                <w:color w:val="191919"/>
                <w:spacing w:val="0"/>
                <w:sz w:val="32"/>
                <w:szCs w:val="32"/>
                <w:u w:val="none"/>
              </w:rPr>
            </w:pPr>
            <w:r>
              <w:rPr>
                <w:rStyle w:val="8"/>
                <w:rFonts w:hint="eastAsia" w:ascii="PingFang SC" w:hAnsi="PingFang SC" w:eastAsia="PingFang SC" w:cs="PingFang SC"/>
                <w:b/>
                <w:i w:val="0"/>
                <w:caps w:val="0"/>
                <w:color w:val="191919"/>
                <w:spacing w:val="0"/>
                <w:sz w:val="32"/>
                <w:szCs w:val="32"/>
                <w:u w:val="none"/>
                <w:bdr w:val="none" w:color="auto" w:sz="0" w:space="0"/>
              </w:rPr>
              <w:t>审查要点：</w:t>
            </w:r>
            <w:r>
              <w:rPr>
                <w:rFonts w:hint="eastAsia" w:ascii="PingFang SC" w:hAnsi="PingFang SC" w:eastAsia="PingFang SC" w:cs="PingFang SC"/>
                <w:b w:val="0"/>
                <w:i w:val="0"/>
                <w:caps w:val="0"/>
                <w:color w:val="191919"/>
                <w:spacing w:val="0"/>
                <w:sz w:val="32"/>
                <w:szCs w:val="32"/>
                <w:u w:val="none"/>
                <w:bdr w:val="none" w:color="auto" w:sz="0" w:space="0"/>
              </w:rPr>
              <w:t>1.通风空调设计说明∶明确门厅、中、高大间中超出人员活动范围空间等过渡空间的空调室内设计温度要求。</w:t>
            </w:r>
          </w:p>
          <w:p>
            <w:pPr>
              <w:rPr>
                <w:rFonts w:ascii="Times New Roman" w:hAnsi="Times New Roman" w:eastAsia="宋体" w:cs="Times New Roman"/>
                <w:kern w:val="0"/>
                <w:sz w:val="20"/>
                <w:szCs w:val="21"/>
              </w:rPr>
            </w:pPr>
          </w:p>
        </w:tc>
      </w:tr>
    </w:tbl>
    <w:p>
      <w:pPr>
        <w:spacing w:before="156" w:beforeLines="50" w:after="156" w:afterLines="50" w:line="300" w:lineRule="exact"/>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0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00" w:lineRule="exact"/>
        <w:rPr>
          <w:rFonts w:ascii="Times New Roman" w:hAnsi="Times New Roman" w:cs="Times New Roman" w:eastAsiaTheme="majorEastAsia"/>
        </w:rPr>
      </w:pPr>
      <w:r>
        <w:rPr>
          <w:rFonts w:hint="eastAsia" w:ascii="Times New Roman" w:hAnsi="Times New Roman" w:cs="Times New Roman" w:eastAsiaTheme="majorEastAsia"/>
        </w:rPr>
        <w:t>1）暖通专业竣工图及设计说明，应包含建筑各功能空间分区温度的设置情况；</w:t>
      </w:r>
    </w:p>
    <w:p>
      <w:pPr>
        <w:spacing w:line="300" w:lineRule="exact"/>
        <w:rPr>
          <w:rFonts w:ascii="Times New Roman" w:hAnsi="Times New Roman" w:cs="Times New Roman" w:eastAsiaTheme="majorEastAsia"/>
        </w:rPr>
      </w:pPr>
      <w:r>
        <w:rPr>
          <w:rFonts w:hint="eastAsia" w:ascii="Times New Roman" w:hAnsi="Times New Roman" w:cs="Times New Roman" w:eastAsiaTheme="majorEastAsia"/>
        </w:rPr>
        <w:t>2）建筑各功能空间</w:t>
      </w:r>
      <w:r>
        <w:rPr>
          <w:rFonts w:ascii="Times New Roman" w:hAnsi="Times New Roman" w:cs="Times New Roman" w:eastAsiaTheme="majorEastAsia"/>
        </w:rPr>
        <w:t>温湿度</w:t>
      </w:r>
      <w:r>
        <w:rPr>
          <w:rFonts w:hint="eastAsia" w:ascii="Times New Roman" w:hAnsi="Times New Roman" w:cs="Times New Roman" w:eastAsiaTheme="majorEastAsia"/>
        </w:rPr>
        <w:t>检测</w:t>
      </w:r>
      <w:r>
        <w:rPr>
          <w:rFonts w:ascii="Times New Roman" w:hAnsi="Times New Roman" w:cs="Times New Roman" w:eastAsiaTheme="majorEastAsia"/>
        </w:rPr>
        <w:t>报告</w:t>
      </w:r>
      <w:r>
        <w:rPr>
          <w:rFonts w:hint="eastAsia" w:ascii="Times New Roman" w:hAnsi="Times New Roman" w:cs="Times New Roman" w:eastAsiaTheme="majorEastAsia"/>
        </w:rPr>
        <w:t>，数据应覆盖三个季度（夏季、冬季、过渡季），且连续数据不少于两周；</w:t>
      </w:r>
    </w:p>
    <w:p>
      <w:pPr>
        <w:spacing w:line="300" w:lineRule="exact"/>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）暖通空调</w:t>
      </w:r>
      <w:r>
        <w:rPr>
          <w:rFonts w:ascii="Times New Roman" w:hAnsi="Times New Roman" w:cs="Times New Roman" w:eastAsiaTheme="majorEastAsia"/>
        </w:rPr>
        <w:t>专业设计说明、暖通设计计算书等。</w:t>
      </w:r>
    </w:p>
    <w:p>
      <w:pPr>
        <w:spacing w:line="300" w:lineRule="exac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0"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0" w:usb3="00000000" w:csb0="0000019F"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PingFang SC">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3A"/>
    <w:rsid w:val="00074A38"/>
    <w:rsid w:val="000A6B3A"/>
    <w:rsid w:val="00403C86"/>
    <w:rsid w:val="00521A8C"/>
    <w:rsid w:val="00B6323B"/>
    <w:rsid w:val="00BD50E9"/>
    <w:rsid w:val="BFFD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unhideWhenUsed/>
    <w:qFormat/>
    <w:uiPriority w:val="0"/>
    <w:pPr>
      <w:spacing w:line="240" w:lineRule="auto"/>
      <w:jc w:val="left"/>
      <w:outlineLvl w:val="3"/>
    </w:pPr>
    <w:rPr>
      <w:rFonts w:ascii="Times New Roman" w:hAnsi="Times New Roman" w:eastAsia="宋体" w:cs="Times New Roman"/>
      <w:sz w:val="21"/>
    </w:rPr>
  </w:style>
  <w:style w:type="character" w:default="1" w:styleId="7">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标题 4 Char"/>
    <w:basedOn w:val="7"/>
    <w:link w:val="3"/>
    <w:qFormat/>
    <w:uiPriority w:val="0"/>
    <w:rPr>
      <w:rFonts w:ascii="Times New Roman" w:hAnsi="Times New Roman" w:eastAsia="宋体" w:cs="Times New Roman"/>
      <w:b/>
      <w:bCs/>
      <w:szCs w:val="32"/>
    </w:rPr>
  </w:style>
  <w:style w:type="character" w:customStyle="1" w:styleId="14">
    <w:name w:val="Placeholder Text"/>
    <w:basedOn w:val="7"/>
    <w:semiHidden/>
    <w:qFormat/>
    <w:uiPriority w:val="99"/>
    <w:rPr>
      <w:color w:val="808080"/>
    </w:rPr>
  </w:style>
  <w:style w:type="table" w:customStyle="1" w:styleId="15">
    <w:name w:val="网格型1"/>
    <w:basedOn w:val="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7"/>
    <w:qFormat/>
    <w:uiPriority w:val="1"/>
    <w:rPr>
      <w:rFonts w:eastAsiaTheme="minorEastAsia"/>
      <w:sz w:val="21"/>
    </w:rPr>
  </w:style>
  <w:style w:type="character" w:customStyle="1" w:styleId="17">
    <w:name w:val="标题 3 Char"/>
    <w:basedOn w:val="7"/>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872A66F84D42C4A142E651649B243E"/>
        <w:style w:val=""/>
        <w:category>
          <w:name w:val="常规"/>
          <w:gallery w:val="placeholder"/>
        </w:category>
        <w:types>
          <w:type w:val="bbPlcHdr"/>
        </w:types>
        <w:behaviors>
          <w:behavior w:val="content"/>
        </w:behaviors>
        <w:description w:val=""/>
        <w:guid w:val="{F170CF7E-9812-4409-8F9E-B21A477B083B}"/>
      </w:docPartPr>
      <w:docPartBody>
        <w:p>
          <w:pPr>
            <w:pStyle w:val="5"/>
          </w:pPr>
          <w:r>
            <w:rPr>
              <w:rStyle w:val="4"/>
              <w:rFonts w:hint="eastAsia"/>
            </w:rPr>
            <w:t>单击此处输入文字。</w:t>
          </w:r>
        </w:p>
      </w:docPartBody>
    </w:docPart>
    <w:docPart>
      <w:docPartPr>
        <w:name w:val="69CE9319BBF9493B8F1935BCB4B525C7"/>
        <w:style w:val=""/>
        <w:category>
          <w:name w:val="常规"/>
          <w:gallery w:val="placeholder"/>
        </w:category>
        <w:types>
          <w:type w:val="bbPlcHdr"/>
        </w:types>
        <w:behaviors>
          <w:behavior w:val="content"/>
        </w:behaviors>
        <w:description w:val=""/>
        <w:guid w:val="{92D04476-6C66-4252-818D-2233BD3CD7BB}"/>
      </w:docPartPr>
      <w:docPartBody>
        <w:p>
          <w:pPr>
            <w:pStyle w:val="6"/>
          </w:pPr>
          <w:r>
            <w:rPr>
              <w:rStyle w:val="4"/>
              <w:rFonts w:hint="eastAsia"/>
            </w:rPr>
            <w:t>单击此处输入文字。</w:t>
          </w:r>
        </w:p>
      </w:docPartBody>
    </w:docPart>
    <w:docPart>
      <w:docPartPr>
        <w:name w:val="949C27188AF34F4B9772602739DAE011"/>
        <w:style w:val=""/>
        <w:category>
          <w:name w:val="常规"/>
          <w:gallery w:val="placeholder"/>
        </w:category>
        <w:types>
          <w:type w:val="bbPlcHdr"/>
        </w:types>
        <w:behaviors>
          <w:behavior w:val="content"/>
        </w:behaviors>
        <w:description w:val=""/>
        <w:guid w:val="{F0DE9064-0F65-4E21-86A0-741CE6FB25BA}"/>
      </w:docPartPr>
      <w:docPartBody>
        <w:p>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B5"/>
    <w:rsid w:val="001910A3"/>
    <w:rsid w:val="00540A59"/>
    <w:rsid w:val="007E3285"/>
    <w:rsid w:val="00D9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91872A66F84D42C4A142E651649B243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9CE9319BBF9493B8F1935BCB4B525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49C27188AF34F4B9772602739DAE0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19545AD4EE44414AA1FA75E2CB8CD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6B94CFB4F2F44ECA9376AC16F32340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Words>
  <Characters>366</Characters>
  <Lines>3</Lines>
  <Paragraphs>1</Paragraphs>
  <TotalTime>0</TotalTime>
  <ScaleCrop>false</ScaleCrop>
  <LinksUpToDate>false</LinksUpToDate>
  <CharactersWithSpaces>429</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2019-07-12T16:03:00Z</dcterms:created>
  <dc:creator>dongYP</dc:creator>
  <cp:lastModifiedBy>pc0608</cp:lastModifiedBy>
  <dcterms:modified xsi:type="dcterms:W3CDTF">2022-03-11T18:38:27Z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