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7.2.5 供暖空调系统的冷、热源机组能效均优于现行国家标准《公共建筑节能设计标准》GB 50189的规定以及现行有关国家标准能效限定值的要求。（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  <w:r>
        <w:rPr>
          <w:rFonts w:hint="eastAsia" w:ascii="Times New Roman" w:hAnsi="Times New Roman" w:eastAsia="宋体" w:cs="Times New Roman"/>
          <w:b/>
          <w:szCs w:val="21"/>
        </w:rPr>
        <w:t>（城市市政</w:t>
      </w:r>
      <w:r>
        <w:rPr>
          <w:rFonts w:ascii="Times New Roman" w:hAnsi="Times New Roman" w:eastAsia="宋体" w:cs="Times New Roman"/>
          <w:b/>
          <w:szCs w:val="21"/>
        </w:rPr>
        <w:t>热源</w:t>
      </w:r>
      <w:r>
        <w:rPr>
          <w:rFonts w:hint="eastAsia" w:ascii="Times New Roman" w:hAnsi="Times New Roman" w:eastAsia="宋体" w:cs="Times New Roman"/>
          <w:b/>
          <w:szCs w:val="21"/>
        </w:rPr>
        <w:t>项目</w:t>
      </w:r>
      <w:r>
        <w:rPr>
          <w:rFonts w:ascii="Times New Roman" w:hAnsi="Times New Roman" w:eastAsia="宋体" w:cs="Times New Roman"/>
          <w:b/>
          <w:szCs w:val="21"/>
        </w:rPr>
        <w:t>，热源机组能效</w:t>
      </w:r>
      <w:r>
        <w:rPr>
          <w:rFonts w:hint="eastAsia" w:ascii="Times New Roman" w:hAnsi="Times New Roman" w:eastAsia="宋体" w:cs="Times New Roman"/>
          <w:b/>
          <w:szCs w:val="21"/>
        </w:rPr>
        <w:t>不参评）</w:t>
      </w:r>
    </w:p>
    <w:tbl>
      <w:tblPr>
        <w:tblStyle w:val="6"/>
        <w:tblW w:w="8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67"/>
        <w:gridCol w:w="992"/>
        <w:gridCol w:w="1418"/>
        <w:gridCol w:w="1417"/>
        <w:gridCol w:w="1559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407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机组类型</w:t>
            </w:r>
          </w:p>
        </w:tc>
        <w:tc>
          <w:tcPr>
            <w:tcW w:w="141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能效指标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提升幅度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电机驱动的蒸汽压缩循环冷水（热泵）机组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制冷性能系数（COP）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86204576"/>
            <w:placeholder>
              <w:docPart w:val="7A82CE6813404AC78C9196A20976177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直燃型溴化锂吸收式冷（温）水机组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制冷、供热性能系数（COP）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64492097"/>
            <w:placeholder>
              <w:docPart w:val="E739146122C54762A56DF7CB6D3130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单元式空气调节机、风管送风式和屋顶式空调机组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能效比（EER）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4685451"/>
            <w:placeholder>
              <w:docPart w:val="A36A2D5E813D4792B202B63E5509752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多联式空调（热泵）机组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制冷综合性能系数（IPLV）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提高8%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30443343"/>
            <w:placeholder>
              <w:docPart w:val="5CF6F582F2B14E22AB0BB128902F5E1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锅炉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燃煤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提高3%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45357603"/>
            <w:placeholder>
              <w:docPart w:val="81CD68DC1D4345068E0866EC9B39D1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燃油</w:t>
            </w:r>
          </w:p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燃气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2968990"/>
            <w:placeholder>
              <w:docPart w:val="75B5276150C9402BB28A9BF48339A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提高4%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房间空气调节器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能效比（EER）、能源消耗效率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8703853"/>
            <w:placeholder>
              <w:docPart w:val="A38ED1966C264C2897B7995A37CFD5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家用燃气热水炉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热效率值（η）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47670660"/>
            <w:placeholder>
              <w:docPart w:val="8A3FCDDAA0204B9DA09DD69B5F5376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蒸汽型溴化锂吸收式冷水机组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制冷、供热性能系数（COP）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1812098"/>
            <w:placeholder>
              <w:docPart w:val="4818229AB45C45CA9C380BAE9C17F2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150" w:type="dxa"/>
            <w:gridSpan w:val="5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0278096"/>
            <w:placeholder>
              <w:docPart w:val="8B3289D0717E45328E93EC49D4B299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</w:p>
            </w:tc>
          </w:sdtContent>
        </w:sdt>
      </w:tr>
    </w:tbl>
    <w:p>
      <w:pPr>
        <w:widowControl/>
        <w:jc w:val="left"/>
        <w:rPr>
          <w:rFonts w:ascii="Times New Roman" w:hAnsi="Times New Roman" w:eastAsia="宋体" w:cs="Times New Roman"/>
          <w:b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  <w:bookmarkStart w:id="0" w:name="_GoBack"/>
      <w:bookmarkEnd w:id="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请简要说明供暖空调</w:t>
      </w:r>
      <w:r>
        <w:rPr>
          <w:rFonts w:ascii="宋体" w:hAnsi="宋体" w:cs="宋体"/>
          <w:kern w:val="0"/>
          <w:szCs w:val="21"/>
        </w:rPr>
        <w:t>系统的冷、热源机组类型</w:t>
      </w:r>
      <w:r>
        <w:rPr>
          <w:rFonts w:hint="eastAsia" w:ascii="宋体" w:hAnsi="宋体" w:cs="宋体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能效等级</w:t>
      </w:r>
      <w:r>
        <w:rPr>
          <w:rFonts w:hint="eastAsia" w:ascii="宋体" w:hAnsi="宋体" w:cs="宋体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本项目冷热、源由热泵机组提供，无电直接加热设备作为空调系统的供暖热源。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宿舍：空调系统采用多联机空调系统，室外机组制冷量为377KW,功率为107.3KW；制热量为420KW,功率为106.02KW。食堂：空调系统采用多联机空调系统，室外机组制冷量为370.5KW,功率为104.85KW；制热量为412.5KW,功率为103.98KW。教学综合楼：空调系统采用多联机空调系统，室外机组制冷量为1239KW,功率为373.9KW；制热量为1386KW,功率为357.06KW。报告厅：合班教室和休息室采用单体空调+新风换气机组；报告厅采用商用直膨式空调机组。制冷量为279KW,功率为97.52KW；制热量为308.7KW,功率为95.12KW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1）暖通专业竣工图及设计说明，</w:t>
      </w:r>
      <w:r>
        <w:rPr>
          <w:rFonts w:ascii="Times New Roman" w:hAnsi="Times New Roman" w:cs="Times New Roman" w:eastAsiaTheme="majorEastAsia"/>
        </w:rPr>
        <w:t>应包含设备表等设计文件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2）冷热源机组采购清单、产品</w:t>
      </w:r>
      <w:r>
        <w:rPr>
          <w:rFonts w:ascii="Times New Roman" w:hAnsi="Times New Roman" w:cs="Times New Roman" w:eastAsiaTheme="majorEastAsia"/>
        </w:rPr>
        <w:t>说明书、</w:t>
      </w:r>
      <w:r>
        <w:rPr>
          <w:rFonts w:hint="eastAsia" w:ascii="Times New Roman" w:hAnsi="Times New Roman" w:cs="Times New Roman" w:eastAsiaTheme="majorEastAsia"/>
        </w:rPr>
        <w:t>产品型式性能检测</w:t>
      </w:r>
      <w:r>
        <w:rPr>
          <w:rFonts w:ascii="Times New Roman" w:hAnsi="Times New Roman" w:cs="Times New Roman" w:eastAsiaTheme="majorEastAsia"/>
        </w:rPr>
        <w:t>报告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adjustRightInd w:val="0"/>
        <w:snapToGrid w:val="0"/>
        <w:spacing w:line="288" w:lineRule="auto"/>
        <w:ind w:left="-55" w:leftChars="-52" w:hanging="54" w:hangingChars="26"/>
        <w:rPr>
          <w:rFonts w:ascii="宋体" w:hAnsi="宋体" w:cs="宋体"/>
          <w:bCs/>
          <w:kern w:val="0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E1"/>
    <w:rsid w:val="00074A38"/>
    <w:rsid w:val="000C229C"/>
    <w:rsid w:val="001A24E1"/>
    <w:rsid w:val="002D6297"/>
    <w:rsid w:val="00844F54"/>
    <w:rsid w:val="00922410"/>
    <w:rsid w:val="00BD0BCF"/>
    <w:rsid w:val="00D3334C"/>
    <w:rsid w:val="00E27289"/>
    <w:rsid w:val="00F56B40"/>
    <w:rsid w:val="4DDB5572"/>
    <w:rsid w:val="6B87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A82CE6813404AC78C9196A2097617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BF4073-BA9B-48C9-87D8-78D8DDC53F04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39146122C54762A56DF7CB6D3130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F46F26-9C08-4999-9C57-9F21DC32B22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6A2D5E813D4792B202B63E550975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B6CD2F-17D0-44AA-BC6D-1775D3C7D6F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F6F582F2B14E22AB0BB128902F5E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B36AAD-BBD2-4AE2-8E50-54642BFFB69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CD68DC1D4345068E0866EC9B39D1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358D8B-9650-4747-BFC7-7567B6C8B983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B5276150C9402BB28A9BF48339A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A2CC2-90A1-4256-90FB-6455E47D9C68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8ED1966C264C2897B7995A37CFD5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780DF-1388-4D9F-9F2D-306C63509C55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3FCDDAA0204B9DA09DD69B5F5376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CC336B-0373-414C-B409-36B6BD1D8970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18229AB45C45CA9C380BAE9C17F2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CB218D-2BB8-40CC-9A72-3966A769D1F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3289D0717E45328E93EC49D4B299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EBCD5A-BC28-42AA-B8FA-E84A9A79BC5C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42"/>
    <w:rsid w:val="007442A5"/>
    <w:rsid w:val="00854F42"/>
    <w:rsid w:val="008B53C3"/>
    <w:rsid w:val="00D865D1"/>
    <w:rsid w:val="00F34F37"/>
    <w:rsid w:val="00F5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A82CE6813404AC78C9196A2097617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739146122C54762A56DF7CB6D3130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36A2D5E813D4792B202B63E550975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CF6F582F2B14E22AB0BB128902F5E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1CD68DC1D4345068E0866EC9B39D1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5B5276150C9402BB28A9BF48339A5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38ED1966C264C2897B7995A37CFD5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A3FCDDAA0204B9DA09DD69B5F5376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818229AB45C45CA9C380BAE9C17F2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B3289D0717E45328E93EC49D4B299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D6B374C47B44891A227BE1F7178D8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12D6CB2437934D6A9CB64AE6BD52B8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919</Characters>
  <Lines>7</Lines>
  <Paragraphs>2</Paragraphs>
  <TotalTime>4</TotalTime>
  <ScaleCrop>false</ScaleCrop>
  <LinksUpToDate>false</LinksUpToDate>
  <CharactersWithSpaces>1078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2019-07-12T08:07:00Z</dcterms:created>
  <dc:creator>dongYP</dc:creator>
  <cp:lastModifiedBy>颜皇</cp:lastModifiedBy>
  <dcterms:modified xsi:type="dcterms:W3CDTF">2022-03-10T13:57:25Z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2E9ACA1D4ACD498F92C8BD3851A604C3</vt:lpwstr>
  </property>
</Properties>
</file>