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32" w:name="_GoBack"/>
      <w:r>
        <w:rPr>
          <w:rFonts w:hint="eastAsia" w:ascii="宋体" w:hAnsi="宋体"/>
          <w:bCs/>
          <w:sz w:val="44"/>
          <w:szCs w:val="44"/>
          <w:lang w:val="en-US"/>
        </w:rPr>
        <w:t>全年负荷计算书</w:t>
      </w:r>
      <w:bookmarkEnd w:id="32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2022年1月6日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斯维尔暖通负荷BECH2020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T15351285747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Style w:val="21"/>
        </w:rPr>
        <w:fldChar w:fldCharType="begin"/>
      </w:r>
      <w:r>
        <w:rPr>
          <w:rStyle w:val="21"/>
        </w:rPr>
        <w:instrText xml:space="preserve"> </w:instrText>
      </w:r>
      <w:r>
        <w:instrText xml:space="preserve">HYPERLINK \l "_Toc316568035"</w:instrText>
      </w:r>
      <w:r>
        <w:rPr>
          <w:rStyle w:val="21"/>
        </w:rPr>
        <w:instrText xml:space="preserve"> </w:instrText>
      </w:r>
      <w:r>
        <w:rPr>
          <w:rStyle w:val="21"/>
        </w:rPr>
        <w:fldChar w:fldCharType="separate"/>
      </w:r>
      <w:r>
        <w:rPr>
          <w:rStyle w:val="21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1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1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1"/>
          <w:lang w:val="en-GB"/>
        </w:rPr>
        <w:t>3.1</w:t>
      </w:r>
      <w:r>
        <w:tab/>
      </w:r>
      <w:r>
        <w:rPr>
          <w:rStyle w:val="21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1"/>
          <w:lang w:val="en-GB"/>
        </w:rPr>
        <w:t>3.2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1"/>
          <w:lang w:val="en-GB"/>
        </w:rPr>
        <w:t>3.3</w:t>
      </w:r>
      <w:r>
        <w:tab/>
      </w:r>
      <w:r>
        <w:rPr>
          <w:rStyle w:val="21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1"/>
          <w:lang w:val="en-GB"/>
        </w:rPr>
        <w:t>3.3.1</w:t>
      </w:r>
      <w:r>
        <w:tab/>
      </w:r>
      <w:r>
        <w:rPr>
          <w:rStyle w:val="21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1"/>
          <w:lang w:val="en-GB"/>
        </w:rPr>
        <w:t>3.3.2</w:t>
      </w:r>
      <w:r>
        <w:tab/>
      </w:r>
      <w:r>
        <w:rPr>
          <w:rStyle w:val="21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1"/>
          <w:lang w:val="en-GB"/>
        </w:rPr>
        <w:t>3.3.3</w:t>
      </w:r>
      <w:r>
        <w:tab/>
      </w:r>
      <w:r>
        <w:rPr>
          <w:rStyle w:val="21"/>
          <w:rFonts w:hint="eastAsia"/>
        </w:rPr>
        <w:t>屋顶构造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1"/>
          <w:lang w:val="en-GB"/>
        </w:rPr>
        <w:t>3.3.4</w:t>
      </w:r>
      <w:r>
        <w:tab/>
      </w:r>
      <w:r>
        <w:rPr>
          <w:rStyle w:val="21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1"/>
          <w:rFonts w:hint="eastAsia"/>
        </w:rPr>
        <w:t>4</w:t>
      </w:r>
      <w:r>
        <w:tab/>
      </w:r>
      <w:r>
        <w:rPr>
          <w:rStyle w:val="21"/>
          <w:rFonts w:hint="eastAsia"/>
        </w:rPr>
        <w:t>附表</w:t>
      </w:r>
      <w:r>
        <w:rPr>
          <w:rStyle w:val="21"/>
        </w:rPr>
        <w:t xml:space="preserve"> </w:t>
      </w:r>
      <w:r>
        <w:rPr>
          <w:rStyle w:val="21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11"/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2" w:name="_Toc494471704"/>
      <w:r>
        <w:rPr>
          <w:kern w:val="2"/>
          <w:szCs w:val="24"/>
        </w:rPr>
        <w:t>建筑概况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地理位置"/>
            <w:r>
              <w:t>四川-成都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气候分区"/>
            <w:r>
              <w:t>夏热冬冷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纬度"/>
            <w:r>
              <w:t>31.00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经度"/>
            <w:r>
              <w:t>104.01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7" w:name="项目名称＃2"/>
            <w:r>
              <w:t>新建项目</w:t>
            </w:r>
            <w:bookmarkEnd w:id="1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面积"/>
            <w:r>
              <w:t>2771.28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高度"/>
            <w:r>
              <w:t>12.00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4" w:name="北向角度"/>
            <w:r>
              <w:t>205</w:t>
            </w:r>
            <w:bookmarkEnd w:id="24"/>
            <w:r>
              <w:t>°</w:t>
            </w:r>
          </w:p>
        </w:tc>
      </w:tr>
    </w:tbl>
    <w:p>
      <w:pPr>
        <w:pStyle w:val="2"/>
      </w:pPr>
      <w:r>
        <w:rPr>
          <w:rFonts w:hint="eastAsia"/>
        </w:rPr>
        <w:t>气象</w:t>
      </w:r>
      <w:r>
        <w:t>数据</w:t>
      </w:r>
    </w:p>
    <w:p>
      <w:pPr>
        <w:pStyle w:val="4"/>
      </w:pPr>
      <w:r>
        <w:rPr>
          <w:rFonts w:hint="eastAsia"/>
        </w:rPr>
        <w:t>气象地点</w:t>
      </w:r>
    </w:p>
    <w:p>
      <w:pPr>
        <w:pStyle w:val="3"/>
        <w:ind w:firstLine="420"/>
        <w:rPr>
          <w:lang w:val="en-US"/>
        </w:rPr>
      </w:pPr>
      <w:bookmarkStart w:id="25" w:name="气象数据来源"/>
      <w:r>
        <w:t>四川-成都, 《中国建筑热环境分析专用气象数据集》</w:t>
      </w:r>
      <w:bookmarkEnd w:id="25"/>
    </w:p>
    <w:p>
      <w:pPr>
        <w:pStyle w:val="4"/>
      </w:pPr>
      <w:r>
        <w:rPr>
          <w:rFonts w:hint="eastAsia"/>
        </w:rPr>
        <w:t>逐</w:t>
      </w:r>
      <w:r>
        <w:t>日干球温度表</w:t>
      </w:r>
    </w:p>
    <w:p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drawing>
          <wp:inline distT="0" distB="0" distL="0" distR="0">
            <wp:extent cx="5610225" cy="2571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7" w:name="日最小干球温度变化表"/>
      <w:bookmarkEnd w:id="27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</w:p>
    <w:p>
      <w:pPr>
        <w:rPr>
          <w:kern w:val="2"/>
          <w:szCs w:val="24"/>
          <w:lang w:val="en-US"/>
        </w:rPr>
      </w:pPr>
      <w:bookmarkStart w:id="28" w:name="逐月辐照量图表"/>
      <w:bookmarkEnd w:id="28"/>
      <w:r>
        <w:drawing>
          <wp:inline distT="0" distB="0" distL="0" distR="0">
            <wp:extent cx="5610225" cy="2324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峰值</w:t>
      </w:r>
      <w:r>
        <w:t>工况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vAlign w:val="center"/>
          </w:tcPr>
          <w:p>
            <w:r>
              <w:t>06月14日14时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17.2</w:t>
            </w:r>
          </w:p>
        </w:tc>
        <w:tc>
          <w:tcPr>
            <w:vAlign w:val="center"/>
          </w:tcPr>
          <w:p>
            <w:r>
              <w:t>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最小值</w:t>
            </w:r>
          </w:p>
        </w:tc>
        <w:tc>
          <w:tcPr>
            <w:vAlign w:val="center"/>
          </w:tcPr>
          <w:p>
            <w:r>
              <w:t>01月05日06时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3.4</w:t>
            </w:r>
          </w:p>
        </w:tc>
        <w:tc>
          <w:tcPr>
            <w:vAlign w:val="center"/>
          </w:tcPr>
          <w:p>
            <w:r>
              <w:t>7.4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29" w:name="气象峰值工况"/>
      <w:bookmarkEnd w:id="29"/>
    </w:p>
    <w:p>
      <w:pPr>
        <w:pStyle w:val="2"/>
      </w:pPr>
      <w:r>
        <w:rPr>
          <w:rFonts w:hint="eastAsia"/>
        </w:rPr>
        <w:t>软件介绍</w:t>
      </w:r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0" w:name="软件全称＃2"/>
      <w:r>
        <w:rPr>
          <w:rFonts w:hint="eastAsia"/>
        </w:rPr>
        <w:t>斯维尔暖通负荷BECH2020</w:t>
      </w:r>
      <w:bookmarkEnd w:id="30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r>
        <w:rPr>
          <w:rFonts w:hint="eastAsia"/>
        </w:rPr>
        <w:t>围护</w:t>
      </w:r>
      <w:r>
        <w:t>结构</w:t>
      </w:r>
    </w:p>
    <w:p>
      <w:pPr>
        <w:pStyle w:val="4"/>
        <w:widowControl w:val="0"/>
        <w:rPr>
          <w:kern w:val="2"/>
          <w:szCs w:val="24"/>
          <w:lang w:val="en-US"/>
        </w:rPr>
      </w:pPr>
      <w:bookmarkStart w:id="31" w:name="围护结构"/>
      <w:bookmarkEnd w:id="31"/>
      <w:r>
        <w:rPr>
          <w:kern w:val="2"/>
          <w:szCs w:val="24"/>
          <w:lang w:val="en-US"/>
        </w:rPr>
        <w:t>屋顶构造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2.073</w:t>
            </w:r>
          </w:p>
        </w:tc>
        <w:tc>
          <w:tcPr>
            <w:vAlign w:val="center"/>
          </w:tcPr>
          <w:p>
            <w:r>
              <w:t>2.844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0.91[默认]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0.45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0.333</w:t>
            </w:r>
          </w:p>
        </w:tc>
        <w:tc>
          <w:tcPr>
            <w:vAlign w:val="center"/>
          </w:tcPr>
          <w:p>
            <w:r>
              <w:t>0.317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2.068</w:t>
            </w:r>
          </w:p>
        </w:tc>
        <w:tc>
          <w:tcPr>
            <w:vAlign w:val="center"/>
          </w:tcPr>
          <w:p>
            <w:r>
              <w:t>1.621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0.45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挑空楼板构造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1.250</w:t>
            </w:r>
          </w:p>
        </w:tc>
        <w:tc>
          <w:tcPr>
            <w:vAlign w:val="center"/>
          </w:tcPr>
          <w:p>
            <w:r>
              <w:t>0.510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1.383</w:t>
            </w:r>
          </w:p>
        </w:tc>
        <w:tc>
          <w:tcPr>
            <w:vAlign w:val="center"/>
          </w:tcPr>
          <w:p>
            <w:r>
              <w:t>2.430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0.65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楼板构造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控温房间楼板构造一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非周边地面构造</w:t>
      </w:r>
    </w:p>
    <w:p>
      <w:pPr>
        <w:pStyle w:val="5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门构造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1.972</w:t>
            </w:r>
          </w:p>
        </w:tc>
        <w:tc>
          <w:tcPr>
            <w:vAlign w:val="center"/>
          </w:tcPr>
          <w:p/>
        </w:tc>
      </w:tr>
    </w:tbl>
    <w:p>
      <w:pPr>
        <w:pStyle w:val="4"/>
      </w:pPr>
      <w:r>
        <w:t>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0.299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2.000</w:t>
            </w:r>
          </w:p>
        </w:tc>
        <w:tc>
          <w:tcPr>
            <w:vAlign w:val="center"/>
          </w:tcPr>
          <w:p>
            <w:r>
              <w:t>0.299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2.600</w:t>
            </w:r>
          </w:p>
        </w:tc>
        <w:tc>
          <w:tcPr>
            <w:vAlign w:val="center"/>
          </w:tcPr>
          <w:p>
            <w:r>
              <w:t>0.345</w:t>
            </w:r>
          </w:p>
        </w:tc>
        <w:tc>
          <w:tcPr>
            <w:vAlign w:val="center"/>
          </w:tcPr>
          <w:p>
            <w:r>
              <w:t>0.620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2"/>
      </w:pPr>
      <w:r>
        <w:t>房间类型</w:t>
      </w:r>
    </w:p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房间表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作息时间表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系统设置</w:t>
      </w:r>
    </w:p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系统划分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2623.90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计算结果</w:t>
      </w:r>
    </w:p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模拟周期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全年冷暖需求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vAlign w:val="center"/>
          </w:tcPr>
          <w:p>
            <w:r>
              <w:t>97978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155589</w:t>
            </w:r>
          </w:p>
        </w:tc>
        <w:tc>
          <w:tcPr>
            <w:vAlign w:val="center"/>
          </w:tcPr>
          <w:p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97978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155589</w:t>
            </w:r>
          </w:p>
        </w:tc>
        <w:tc>
          <w:tcPr>
            <w:vAlign w:val="center"/>
          </w:tcPr>
          <w:p>
            <w:r>
              <w:t>59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能耗分项统计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415"/>
        <w:gridCol w:w="1415"/>
        <w:gridCol w:w="1301"/>
        <w:gridCol w:w="1409"/>
        <w:gridCol w:w="101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供暖需求(kWh)</w:t>
            </w:r>
          </w:p>
        </w:tc>
        <w:tc>
          <w:tcPr>
            <w:vAlign w:val="center"/>
          </w:tcPr>
          <w:p>
            <w:r>
              <w:t>-109346</w:t>
            </w:r>
          </w:p>
        </w:tc>
        <w:tc>
          <w:tcPr>
            <w:vAlign w:val="center"/>
          </w:tcPr>
          <w:p>
            <w:r>
              <w:t>66112</w:t>
            </w:r>
          </w:p>
        </w:tc>
        <w:tc>
          <w:tcPr>
            <w:vAlign w:val="center"/>
          </w:tcPr>
          <w:p>
            <w:r>
              <w:t>3819</w:t>
            </w:r>
          </w:p>
        </w:tc>
        <w:tc>
          <w:tcPr>
            <w:vAlign w:val="center"/>
          </w:tcPr>
          <w:p>
            <w:r>
              <w:t>-58564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-97978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供冷需求(kWh)</w:t>
            </w:r>
          </w:p>
        </w:tc>
        <w:tc>
          <w:tcPr>
            <w:vAlign w:val="center"/>
          </w:tcPr>
          <w:p>
            <w:r>
              <w:t>-13813</w:t>
            </w:r>
          </w:p>
        </w:tc>
        <w:tc>
          <w:tcPr>
            <w:vAlign w:val="center"/>
          </w:tcPr>
          <w:p>
            <w:r>
              <w:t>83004</w:t>
            </w:r>
          </w:p>
        </w:tc>
        <w:tc>
          <w:tcPr>
            <w:vAlign w:val="center"/>
          </w:tcPr>
          <w:p>
            <w:r>
              <w:t>7874</w:t>
            </w:r>
          </w:p>
        </w:tc>
        <w:tc>
          <w:tcPr>
            <w:vAlign w:val="center"/>
          </w:tcPr>
          <w:p>
            <w:r>
              <w:t>78524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155589</w:t>
            </w:r>
          </w:p>
        </w:tc>
      </w:tr>
    </w:tbl>
    <w:p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逐月负荷表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31826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FF0000"/>
              </w:rPr>
              <w:t>426.585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340.830</w:t>
            </w:r>
          </w:p>
        </w:tc>
        <w:tc>
          <w:tcPr>
            <w:vAlign w:val="center"/>
          </w:tcPr>
          <w:p>
            <w:r>
              <w:t>02月14日07时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263.810</w:t>
            </w:r>
          </w:p>
        </w:tc>
        <w:tc>
          <w:tcPr>
            <w:vAlign w:val="center"/>
          </w:tcPr>
          <w:p>
            <w:r>
              <w:t>03月11日07时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21.169</w:t>
            </w:r>
          </w:p>
        </w:tc>
        <w:tc>
          <w:tcPr>
            <w:vAlign w:val="center"/>
          </w:tcPr>
          <w:p>
            <w:r>
              <w:t>03月29日15时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160.373</w:t>
            </w:r>
          </w:p>
        </w:tc>
        <w:tc>
          <w:tcPr>
            <w:vAlign w:val="center"/>
          </w:tcPr>
          <w:p>
            <w:r>
              <w:t>04月08日07时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30.171</w:t>
            </w:r>
          </w:p>
        </w:tc>
        <w:tc>
          <w:tcPr>
            <w:vAlign w:val="center"/>
          </w:tcPr>
          <w:p>
            <w:r>
              <w:t>04月30日15时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8959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26.432</w:t>
            </w:r>
          </w:p>
        </w:tc>
        <w:tc>
          <w:tcPr>
            <w:vAlign w:val="center"/>
          </w:tcPr>
          <w:p>
            <w:r>
              <w:t>05月06日07时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153.985</w:t>
            </w:r>
          </w:p>
        </w:tc>
        <w:tc>
          <w:tcPr>
            <w:vAlign w:val="center"/>
          </w:tcPr>
          <w:p>
            <w:r>
              <w:t>05月31日15时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1.035</w:t>
            </w:r>
          </w:p>
        </w:tc>
        <w:tc>
          <w:tcPr>
            <w:vAlign w:val="center"/>
          </w:tcPr>
          <w:p>
            <w:r>
              <w:t>06月03日07时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250.065</w:t>
            </w:r>
          </w:p>
        </w:tc>
        <w:tc>
          <w:tcPr>
            <w:vAlign w:val="center"/>
          </w:tcPr>
          <w:p>
            <w:r>
              <w:t>06月14日15时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0000FF"/>
              </w:rPr>
              <w:t>330.643</w:t>
            </w:r>
          </w:p>
        </w:tc>
        <w:tc>
          <w:tcPr>
            <w:vAlign w:val="center"/>
          </w:tcPr>
          <w:p>
            <w:r>
              <w:rPr>
                <w:color w:val="0000FF"/>
              </w:rPr>
              <w:t>07月23日14时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307.301</w:t>
            </w:r>
          </w:p>
        </w:tc>
        <w:tc>
          <w:tcPr>
            <w:vAlign w:val="center"/>
          </w:tcPr>
          <w:p>
            <w:r>
              <w:t>08月22日14时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20653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246.390</w:t>
            </w:r>
          </w:p>
        </w:tc>
        <w:tc>
          <w:tcPr>
            <w:vAlign w:val="center"/>
          </w:tcPr>
          <w:p>
            <w:r>
              <w:t>09月13日15时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6.816</w:t>
            </w:r>
          </w:p>
        </w:tc>
        <w:tc>
          <w:tcPr>
            <w:vAlign w:val="center"/>
          </w:tcPr>
          <w:p>
            <w:r>
              <w:t>10月07日07时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104.989</w:t>
            </w:r>
          </w:p>
        </w:tc>
        <w:tc>
          <w:tcPr>
            <w:vAlign w:val="center"/>
          </w:tcPr>
          <w:p>
            <w:r>
              <w:t>10月15日15时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121.034</w:t>
            </w:r>
          </w:p>
        </w:tc>
        <w:tc>
          <w:tcPr>
            <w:vAlign w:val="center"/>
          </w:tcPr>
          <w:p>
            <w:r>
              <w:t>11月25日07时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3.395</w:t>
            </w:r>
          </w:p>
        </w:tc>
        <w:tc>
          <w:tcPr>
            <w:vAlign w:val="center"/>
          </w:tcPr>
          <w:p>
            <w:r>
              <w:t>11月01日16时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252.103</w:t>
            </w:r>
          </w:p>
        </w:tc>
        <w:tc>
          <w:tcPr>
            <w:vAlign w:val="center"/>
          </w:tcPr>
          <w:p>
            <w:r>
              <w:t>12月23日07时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343525" cy="2314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附录</w:t>
      </w: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A1D8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3A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12</Pages>
  <Words>2882</Words>
  <Characters>4484</Characters>
  <Lines>11</Lines>
  <Paragraphs>3</Paragraphs>
  <TotalTime>79</TotalTime>
  <ScaleCrop>false</ScaleCrop>
  <LinksUpToDate>false</LinksUpToDate>
  <CharactersWithSpaces>4524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2022-01-06T11:22:00Z</dcterms:created>
  <dc:creator>Admin</dc:creator>
  <cp:lastModifiedBy>Admin</cp:lastModifiedBy>
  <dcterms:modified xsi:type="dcterms:W3CDTF">2022-01-06T11:22:30Z</dcterms:modified>
  <dc:title>全年负荷计算书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C2E4478F56544FFDB204CE41F009A941</vt:lpwstr>
  </property>
  <property fmtid="{D5CDD505-2E9C-101B-9397-08002B2CF9AE}" pid="3" name="KSOProductBuildVer">
    <vt:lpwstr>2052-11.1.0.11194</vt:lpwstr>
  </property>
</Properties>
</file>