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276" w:lineRule="auto"/>
        <w:jc w:val="center"/>
        <w:rPr>
          <w:rFonts w:ascii="黑体" w:hAnsi="宋体" w:eastAsia="黑体"/>
          <w:b/>
          <w:bCs/>
          <w:sz w:val="72"/>
          <w:szCs w:val="72"/>
        </w:rPr>
      </w:pPr>
    </w:p>
    <w:p>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建筑构件隔声性能报告书</w:t>
      </w:r>
    </w:p>
    <w:p>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商业建筑</w:t>
      </w:r>
      <w:bookmarkEnd w:id="0"/>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pPr>
            <w:r>
              <w:rPr>
                <w:rFonts w:hint="eastAsia"/>
              </w:rPr>
              <w:t>工程名称</w:t>
            </w:r>
          </w:p>
        </w:tc>
        <w:tc>
          <w:tcPr>
            <w:tcW w:w="3780" w:type="dxa"/>
          </w:tcPr>
          <w:p>
            <w:pPr>
              <w:pStyle w:val="3"/>
            </w:pPr>
            <w:bookmarkStart w:id="1" w:name="项目名称"/>
            <w:r>
              <w:rPr>
                <w:rFonts w:hint="eastAsia"/>
              </w:rPr>
              <w:t>博物馆</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设计编号</w:t>
            </w:r>
          </w:p>
        </w:tc>
        <w:tc>
          <w:tcPr>
            <w:tcW w:w="3780" w:type="dxa"/>
          </w:tcPr>
          <w:p>
            <w:pPr>
              <w:pStyle w:val="3"/>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建设单位</w:t>
            </w:r>
          </w:p>
        </w:tc>
        <w:tc>
          <w:tcPr>
            <w:tcW w:w="3780" w:type="dxa"/>
          </w:tcPr>
          <w:p>
            <w:pPr>
              <w:pStyle w:val="3"/>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设计单位</w:t>
            </w:r>
          </w:p>
        </w:tc>
        <w:tc>
          <w:tcPr>
            <w:tcW w:w="3780" w:type="dxa"/>
          </w:tcPr>
          <w:p>
            <w:pPr>
              <w:pStyle w:val="3"/>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 计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核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定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pPr>
            <w:r>
              <w:rPr>
                <w:rFonts w:hint="eastAsia"/>
              </w:rPr>
              <w:t>设计日期</w:t>
            </w:r>
          </w:p>
        </w:tc>
        <w:tc>
          <w:tcPr>
            <w:tcW w:w="3780" w:type="dxa"/>
          </w:tcPr>
          <w:p>
            <w:pPr>
              <w:pStyle w:val="3"/>
            </w:pPr>
            <w:bookmarkStart w:id="5" w:name="报告日期"/>
            <w:r>
              <w:rPr>
                <w:rFonts w:hint="eastAsia"/>
              </w:rPr>
              <w:t>2022年3月10日</w:t>
            </w:r>
            <w:bookmarkEnd w:id="5"/>
          </w:p>
        </w:tc>
      </w:tr>
    </w:tbl>
    <w:p>
      <w:pPr>
        <w:rPr>
          <w:rFonts w:ascii="宋体" w:hAnsi="宋体"/>
          <w:lang w:val="en-US"/>
        </w:rPr>
      </w:pPr>
    </w:p>
    <w:p>
      <w:pPr>
        <w:rPr>
          <w:rFonts w:hint="eastAsia" w:ascii="宋体" w:hAnsi="宋体"/>
          <w:lang w:val="en-US"/>
        </w:rPr>
      </w:pPr>
    </w:p>
    <w:p>
      <w:pPr>
        <w:jc w:val="center"/>
        <w:rPr>
          <w:rFonts w:ascii="宋体" w:hAnsi="宋体"/>
          <w:lang w:val="en-US"/>
        </w:rPr>
      </w:pPr>
      <w:bookmarkStart w:id="6" w:name="二维码"/>
      <w:r>
        <w:drawing>
          <wp:inline distT="0" distB="0" distL="0" distR="0">
            <wp:extent cx="1514475" cy="15144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jc w:val="center"/>
        <w:rPr>
          <w:rFonts w:ascii="宋体" w:hAnsi="宋体"/>
          <w:lang w:val="en-US"/>
        </w:rPr>
      </w:pPr>
    </w:p>
    <w:bookmarkEnd w:id="6"/>
    <w:p>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20" w:hRule="atLeast"/>
          <w:jc w:val="center"/>
        </w:trPr>
        <w:tc>
          <w:tcPr>
            <w:tcW w:w="1800" w:type="dxa"/>
            <w:shd w:val="clear" w:color="auto" w:fill="E6E6E6"/>
            <w:vAlign w:val="center"/>
          </w:tcPr>
          <w:p>
            <w:pPr>
              <w:pStyle w:val="3"/>
            </w:pPr>
            <w:r>
              <w:rPr>
                <w:rFonts w:hint="eastAsia"/>
              </w:rPr>
              <w:t>采用软件</w:t>
            </w:r>
          </w:p>
        </w:tc>
        <w:tc>
          <w:tcPr>
            <w:tcW w:w="3780" w:type="dxa"/>
            <w:shd w:val="clear" w:color="auto" w:fill="auto"/>
            <w:vAlign w:val="center"/>
          </w:tcPr>
          <w:p>
            <w:pPr>
              <w:pStyle w:val="3"/>
            </w:pPr>
            <w:bookmarkStart w:id="7" w:name="软件全称"/>
            <w:r>
              <w:rPr>
                <w:rFonts w:hint="eastAsia"/>
              </w:rPr>
              <w:t>建筑声环境SEDU2020</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软件版本</w:t>
            </w:r>
          </w:p>
        </w:tc>
        <w:tc>
          <w:tcPr>
            <w:tcW w:w="3780" w:type="dxa"/>
            <w:vAlign w:val="center"/>
          </w:tcPr>
          <w:p>
            <w:pPr>
              <w:pStyle w:val="3"/>
            </w:pPr>
            <w:bookmarkStart w:id="8" w:name="软件版本"/>
            <w:r>
              <w:rPr>
                <w:rFonts w:hint="eastAsia"/>
              </w:rPr>
              <w:t>20201212（SP1）</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研发单位</w:t>
            </w:r>
          </w:p>
        </w:tc>
        <w:tc>
          <w:tcPr>
            <w:tcW w:w="3780" w:type="dxa"/>
            <w:vAlign w:val="bottom"/>
          </w:tcPr>
          <w:p>
            <w:pPr>
              <w:pStyle w:val="3"/>
            </w:pPr>
            <w:r>
              <w:rPr>
                <w:rFonts w:hint="eastAsia" w:cs="宋体"/>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正版授权码</w:t>
            </w:r>
          </w:p>
        </w:tc>
        <w:tc>
          <w:tcPr>
            <w:tcW w:w="3780" w:type="dxa"/>
            <w:vAlign w:val="center"/>
          </w:tcPr>
          <w:p>
            <w:pPr>
              <w:pStyle w:val="3"/>
            </w:pPr>
            <w:bookmarkStart w:id="9" w:name="加密锁号"/>
            <w:r>
              <w:rPr>
                <w:rFonts w:hint="eastAsia"/>
              </w:rPr>
              <w:t>T13897938950</w:t>
            </w:r>
            <w:bookmarkEnd w:id="9"/>
            <w:r>
              <w:rPr>
                <w:rFonts w:hint="eastAsia"/>
              </w:rPr>
              <w:t xml:space="preserve"> </w:t>
            </w:r>
          </w:p>
        </w:tc>
      </w:tr>
    </w:tbl>
    <w:p>
      <w:pPr>
        <w:pStyle w:val="3"/>
        <w:jc w:val="center"/>
      </w:pPr>
      <w:r>
        <w:br w:type="page"/>
      </w:r>
    </w:p>
    <w:p>
      <w:pPr>
        <w:pStyle w:val="3"/>
        <w:jc w:val="center"/>
      </w:pPr>
    </w:p>
    <w:p>
      <w:pPr>
        <w:pStyle w:val="3"/>
        <w:jc w:val="center"/>
        <w:rPr>
          <w:b/>
        </w:rPr>
      </w:pPr>
      <w:r>
        <w:rPr>
          <w:rFonts w:hint="eastAsia"/>
          <w:b/>
          <w:sz w:val="28"/>
        </w:rPr>
        <w:t>目  录</w:t>
      </w:r>
    </w:p>
    <w:p>
      <w:pPr>
        <w:pStyle w:val="17"/>
        <w:pBdr>
          <w:bottom w:val="none" w:color="auto" w:sz="0" w:space="0"/>
        </w:pBdr>
        <w:tabs>
          <w:tab w:val="clear" w:pos="4153"/>
          <w:tab w:val="clear" w:pos="8306"/>
        </w:tabs>
        <w:snapToGrid/>
        <w:rPr>
          <w:rFonts w:ascii="宋体" w:hAnsi="宋体"/>
          <w:szCs w:val="20"/>
        </w:rPr>
      </w:pPr>
    </w:p>
    <w:p>
      <w:pPr>
        <w:pStyle w:val="18"/>
        <w:tabs>
          <w:tab w:val="right" w:leader="dot" w:pos="9070"/>
          <w:tab w:val="clear" w:pos="180"/>
          <w:tab w:val="clear" w:pos="9360"/>
        </w:tabs>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_Toc5757 </w:instrText>
      </w:r>
      <w:r>
        <w:rPr>
          <w:rFonts w:ascii="宋体" w:hAnsi="宋体"/>
          <w:caps/>
        </w:rPr>
        <w:fldChar w:fldCharType="separate"/>
      </w:r>
      <w:r>
        <w:t xml:space="preserve">1 </w:t>
      </w:r>
      <w:r>
        <w:rPr>
          <w:rFonts w:hint="eastAsia"/>
        </w:rPr>
        <w:t>建筑概况</w:t>
      </w:r>
      <w:r>
        <w:tab/>
      </w:r>
      <w:r>
        <w:fldChar w:fldCharType="begin"/>
      </w:r>
      <w:r>
        <w:instrText xml:space="preserve"> PAGEREF _Toc5757 \h </w:instrText>
      </w:r>
      <w:r>
        <w:fldChar w:fldCharType="separate"/>
      </w:r>
      <w:r>
        <w:t>3</w:t>
      </w:r>
      <w:r>
        <w:fldChar w:fldCharType="end"/>
      </w:r>
      <w:r>
        <w:rPr>
          <w:rFonts w:ascii="宋体" w:hAnsi="宋体"/>
          <w:caps/>
        </w:rPr>
        <w:fldChar w:fldCharType="end"/>
      </w:r>
    </w:p>
    <w:p>
      <w:pPr>
        <w:pStyle w:val="18"/>
        <w:tabs>
          <w:tab w:val="right" w:leader="dot" w:pos="9070"/>
          <w:tab w:val="clear" w:pos="180"/>
          <w:tab w:val="clear" w:pos="9360"/>
        </w:tabs>
      </w:pPr>
      <w:r>
        <w:fldChar w:fldCharType="begin"/>
      </w:r>
      <w:r>
        <w:instrText xml:space="preserve"> HYPERLINK \l _Toc20127 </w:instrText>
      </w:r>
      <w:r>
        <w:fldChar w:fldCharType="separate"/>
      </w:r>
      <w:r>
        <w:t xml:space="preserve">2 </w:t>
      </w:r>
      <w:r>
        <w:rPr>
          <w:rFonts w:hint="eastAsia"/>
        </w:rPr>
        <w:t>评价依据</w:t>
      </w:r>
      <w:r>
        <w:tab/>
      </w:r>
      <w:r>
        <w:fldChar w:fldCharType="begin"/>
      </w:r>
      <w:r>
        <w:instrText xml:space="preserve"> PAGEREF _Toc20127 \h </w:instrText>
      </w:r>
      <w:r>
        <w:fldChar w:fldCharType="separate"/>
      </w:r>
      <w:r>
        <w:t>3</w:t>
      </w:r>
      <w:r>
        <w:fldChar w:fldCharType="end"/>
      </w:r>
      <w:r>
        <w:fldChar w:fldCharType="end"/>
      </w:r>
    </w:p>
    <w:p>
      <w:pPr>
        <w:pStyle w:val="18"/>
        <w:tabs>
          <w:tab w:val="right" w:leader="dot" w:pos="9070"/>
          <w:tab w:val="clear" w:pos="180"/>
          <w:tab w:val="clear" w:pos="9360"/>
        </w:tabs>
      </w:pPr>
      <w:r>
        <w:fldChar w:fldCharType="begin"/>
      </w:r>
      <w:r>
        <w:instrText xml:space="preserve"> HYPERLINK \l _Toc4250 </w:instrText>
      </w:r>
      <w:r>
        <w:fldChar w:fldCharType="separate"/>
      </w:r>
      <w:r>
        <w:t xml:space="preserve">3 </w:t>
      </w:r>
      <w:r>
        <w:rPr>
          <w:rFonts w:hint="eastAsia"/>
        </w:rPr>
        <w:t>标准</w:t>
      </w:r>
      <w:r>
        <w:t>要求</w:t>
      </w:r>
      <w:r>
        <w:tab/>
      </w:r>
      <w:r>
        <w:fldChar w:fldCharType="begin"/>
      </w:r>
      <w:r>
        <w:instrText xml:space="preserve"> PAGEREF _Toc4250 \h </w:instrText>
      </w:r>
      <w:r>
        <w:fldChar w:fldCharType="separate"/>
      </w:r>
      <w:r>
        <w:t>3</w:t>
      </w:r>
      <w:r>
        <w:fldChar w:fldCharType="end"/>
      </w:r>
      <w:r>
        <w:fldChar w:fldCharType="end"/>
      </w:r>
    </w:p>
    <w:p>
      <w:pPr>
        <w:pStyle w:val="18"/>
        <w:tabs>
          <w:tab w:val="right" w:leader="dot" w:pos="9070"/>
          <w:tab w:val="clear" w:pos="180"/>
          <w:tab w:val="clear" w:pos="9360"/>
        </w:tabs>
      </w:pPr>
      <w:r>
        <w:fldChar w:fldCharType="begin"/>
      </w:r>
      <w:r>
        <w:instrText xml:space="preserve"> HYPERLINK \l _Toc26359 </w:instrText>
      </w:r>
      <w:r>
        <w:fldChar w:fldCharType="separate"/>
      </w:r>
      <w:r>
        <w:rPr>
          <w:kern w:val="2"/>
        </w:rPr>
        <w:t xml:space="preserve">4 </w:t>
      </w:r>
      <w:r>
        <w:rPr>
          <w:rFonts w:hint="eastAsia"/>
          <w:kern w:val="2"/>
        </w:rPr>
        <w:t>隔声理论概述</w:t>
      </w:r>
      <w:r>
        <w:tab/>
      </w:r>
      <w:r>
        <w:fldChar w:fldCharType="begin"/>
      </w:r>
      <w:r>
        <w:instrText xml:space="preserve"> PAGEREF _Toc26359 \h </w:instrText>
      </w:r>
      <w:r>
        <w:fldChar w:fldCharType="separate"/>
      </w:r>
      <w:r>
        <w:t>4</w:t>
      </w:r>
      <w:r>
        <w:fldChar w:fldCharType="end"/>
      </w:r>
      <w:r>
        <w:fldChar w:fldCharType="end"/>
      </w:r>
    </w:p>
    <w:p>
      <w:pPr>
        <w:pStyle w:val="20"/>
        <w:tabs>
          <w:tab w:val="right" w:leader="dot" w:pos="9070"/>
          <w:tab w:val="clear" w:pos="540"/>
          <w:tab w:val="clear" w:pos="9360"/>
        </w:tabs>
      </w:pPr>
      <w:r>
        <w:fldChar w:fldCharType="begin"/>
      </w:r>
      <w:r>
        <w:instrText xml:space="preserve"> HYPERLINK \l _Toc15521 </w:instrText>
      </w:r>
      <w:r>
        <w:fldChar w:fldCharType="separate"/>
      </w:r>
      <w:r>
        <w:t xml:space="preserve">4.1 </w:t>
      </w:r>
      <w:r>
        <w:rPr>
          <w:rFonts w:hint="eastAsia"/>
        </w:rPr>
        <w:t>原理概要</w:t>
      </w:r>
      <w:r>
        <w:tab/>
      </w:r>
      <w:r>
        <w:fldChar w:fldCharType="begin"/>
      </w:r>
      <w:r>
        <w:instrText xml:space="preserve"> PAGEREF _Toc15521 \h </w:instrText>
      </w:r>
      <w:r>
        <w:fldChar w:fldCharType="separate"/>
      </w:r>
      <w:r>
        <w:t>4</w:t>
      </w:r>
      <w:r>
        <w:fldChar w:fldCharType="end"/>
      </w:r>
      <w:r>
        <w:fldChar w:fldCharType="end"/>
      </w:r>
    </w:p>
    <w:p>
      <w:pPr>
        <w:pStyle w:val="20"/>
        <w:tabs>
          <w:tab w:val="right" w:leader="dot" w:pos="9070"/>
          <w:tab w:val="clear" w:pos="540"/>
          <w:tab w:val="clear" w:pos="9360"/>
        </w:tabs>
      </w:pPr>
      <w:r>
        <w:fldChar w:fldCharType="begin"/>
      </w:r>
      <w:r>
        <w:instrText xml:space="preserve"> HYPERLINK \l _Toc26703 </w:instrText>
      </w:r>
      <w:r>
        <w:fldChar w:fldCharType="separate"/>
      </w:r>
      <w:r>
        <w:t xml:space="preserve">4.2 </w:t>
      </w:r>
      <w:r>
        <w:rPr>
          <w:rFonts w:hint="eastAsia"/>
        </w:rPr>
        <w:t>质量定律</w:t>
      </w:r>
      <w:r>
        <w:tab/>
      </w:r>
      <w:r>
        <w:fldChar w:fldCharType="begin"/>
      </w:r>
      <w:r>
        <w:instrText xml:space="preserve"> PAGEREF _Toc26703 \h </w:instrText>
      </w:r>
      <w:r>
        <w:fldChar w:fldCharType="separate"/>
      </w:r>
      <w:r>
        <w:t>5</w:t>
      </w:r>
      <w:r>
        <w:fldChar w:fldCharType="end"/>
      </w:r>
      <w:r>
        <w:fldChar w:fldCharType="end"/>
      </w:r>
    </w:p>
    <w:p>
      <w:pPr>
        <w:pStyle w:val="20"/>
        <w:tabs>
          <w:tab w:val="right" w:leader="dot" w:pos="9070"/>
          <w:tab w:val="clear" w:pos="540"/>
          <w:tab w:val="clear" w:pos="9360"/>
        </w:tabs>
      </w:pPr>
      <w:r>
        <w:fldChar w:fldCharType="begin"/>
      </w:r>
      <w:r>
        <w:instrText xml:space="preserve"> HYPERLINK \l _Toc31342 </w:instrText>
      </w:r>
      <w:r>
        <w:fldChar w:fldCharType="separate"/>
      </w:r>
      <w:r>
        <w:t>4.3 隔声</w:t>
      </w:r>
      <w:r>
        <w:rPr>
          <w:rFonts w:hint="eastAsia"/>
        </w:rPr>
        <w:t>量计算经验</w:t>
      </w:r>
      <w:r>
        <w:t>公式</w:t>
      </w:r>
      <w:r>
        <w:tab/>
      </w:r>
      <w:r>
        <w:fldChar w:fldCharType="begin"/>
      </w:r>
      <w:r>
        <w:instrText xml:space="preserve"> PAGEREF _Toc31342 \h </w:instrText>
      </w:r>
      <w:r>
        <w:fldChar w:fldCharType="separate"/>
      </w:r>
      <w:r>
        <w:t>5</w:t>
      </w:r>
      <w:r>
        <w:fldChar w:fldCharType="end"/>
      </w:r>
      <w:r>
        <w:fldChar w:fldCharType="end"/>
      </w:r>
    </w:p>
    <w:p>
      <w:pPr>
        <w:pStyle w:val="20"/>
        <w:tabs>
          <w:tab w:val="right" w:leader="dot" w:pos="9070"/>
          <w:tab w:val="clear" w:pos="540"/>
          <w:tab w:val="clear" w:pos="9360"/>
        </w:tabs>
      </w:pPr>
      <w:r>
        <w:fldChar w:fldCharType="begin"/>
      </w:r>
      <w:r>
        <w:instrText xml:space="preserve"> HYPERLINK \l _Toc29448 </w:instrText>
      </w:r>
      <w:r>
        <w:fldChar w:fldCharType="separate"/>
      </w:r>
      <w:r>
        <w:t xml:space="preserve">4.4 </w:t>
      </w:r>
      <w:r>
        <w:rPr>
          <w:rFonts w:hint="eastAsia"/>
        </w:rPr>
        <w:t>单值评价量</w:t>
      </w:r>
      <w:bookmarkStart w:id="59" w:name="_GoBack"/>
      <w:bookmarkEnd w:id="59"/>
      <w:r>
        <w:tab/>
      </w:r>
      <w:r>
        <w:fldChar w:fldCharType="begin"/>
      </w:r>
      <w:r>
        <w:instrText xml:space="preserve"> PAGEREF _Toc29448 \h </w:instrText>
      </w:r>
      <w:r>
        <w:fldChar w:fldCharType="separate"/>
      </w:r>
      <w:r>
        <w:t>6</w:t>
      </w:r>
      <w:r>
        <w:fldChar w:fldCharType="end"/>
      </w:r>
      <w:r>
        <w:fldChar w:fldCharType="end"/>
      </w:r>
    </w:p>
    <w:p>
      <w:pPr>
        <w:pStyle w:val="20"/>
        <w:tabs>
          <w:tab w:val="right" w:leader="dot" w:pos="9070"/>
          <w:tab w:val="clear" w:pos="540"/>
          <w:tab w:val="clear" w:pos="9360"/>
        </w:tabs>
      </w:pPr>
      <w:r>
        <w:fldChar w:fldCharType="begin"/>
      </w:r>
      <w:r>
        <w:instrText xml:space="preserve"> HYPERLINK \l _Toc28938 </w:instrText>
      </w:r>
      <w:r>
        <w:fldChar w:fldCharType="separate"/>
      </w:r>
      <w:r>
        <w:t xml:space="preserve">4.5 </w:t>
      </w:r>
      <w:r>
        <w:rPr>
          <w:rFonts w:hint="eastAsia"/>
        </w:rPr>
        <w:t>频谱修正量</w:t>
      </w:r>
      <w:r>
        <w:tab/>
      </w:r>
      <w:r>
        <w:fldChar w:fldCharType="begin"/>
      </w:r>
      <w:r>
        <w:instrText xml:space="preserve"> PAGEREF _Toc28938 \h </w:instrText>
      </w:r>
      <w:r>
        <w:fldChar w:fldCharType="separate"/>
      </w:r>
      <w:r>
        <w:t>7</w:t>
      </w:r>
      <w:r>
        <w:fldChar w:fldCharType="end"/>
      </w:r>
      <w:r>
        <w:fldChar w:fldCharType="end"/>
      </w:r>
    </w:p>
    <w:p>
      <w:pPr>
        <w:pStyle w:val="18"/>
        <w:tabs>
          <w:tab w:val="right" w:leader="dot" w:pos="9070"/>
          <w:tab w:val="clear" w:pos="180"/>
          <w:tab w:val="clear" w:pos="9360"/>
        </w:tabs>
      </w:pPr>
      <w:r>
        <w:fldChar w:fldCharType="begin"/>
      </w:r>
      <w:r>
        <w:instrText xml:space="preserve"> HYPERLINK \l _Toc8580 </w:instrText>
      </w:r>
      <w:r>
        <w:fldChar w:fldCharType="separate"/>
      </w:r>
      <w:r>
        <w:t xml:space="preserve">5 </w:t>
      </w:r>
      <w:r>
        <w:rPr>
          <w:rFonts w:hint="eastAsia"/>
        </w:rPr>
        <w:t>构件空气声隔声性能</w:t>
      </w:r>
      <w:r>
        <w:tab/>
      </w:r>
      <w:r>
        <w:fldChar w:fldCharType="begin"/>
      </w:r>
      <w:r>
        <w:instrText xml:space="preserve"> PAGEREF _Toc8580 \h </w:instrText>
      </w:r>
      <w:r>
        <w:fldChar w:fldCharType="separate"/>
      </w:r>
      <w:r>
        <w:t>7</w:t>
      </w:r>
      <w:r>
        <w:fldChar w:fldCharType="end"/>
      </w:r>
      <w:r>
        <w:fldChar w:fldCharType="end"/>
      </w:r>
    </w:p>
    <w:p>
      <w:pPr>
        <w:pStyle w:val="20"/>
        <w:tabs>
          <w:tab w:val="right" w:leader="dot" w:pos="9070"/>
          <w:tab w:val="clear" w:pos="540"/>
          <w:tab w:val="clear" w:pos="9360"/>
        </w:tabs>
      </w:pPr>
      <w:r>
        <w:fldChar w:fldCharType="begin"/>
      </w:r>
      <w:r>
        <w:instrText xml:space="preserve"> HYPERLINK \l _Toc10947 </w:instrText>
      </w:r>
      <w:r>
        <w:fldChar w:fldCharType="separate"/>
      </w:r>
      <w:r>
        <w:t xml:space="preserve">5.1 </w:t>
      </w:r>
      <w:r>
        <w:rPr>
          <w:rFonts w:hint="eastAsia"/>
        </w:rPr>
        <w:t>墙板的空气声隔声量</w:t>
      </w:r>
      <w:r>
        <w:tab/>
      </w:r>
      <w:r>
        <w:fldChar w:fldCharType="begin"/>
      </w:r>
      <w:r>
        <w:instrText xml:space="preserve"> PAGEREF _Toc10947 \h </w:instrText>
      </w:r>
      <w:r>
        <w:fldChar w:fldCharType="separate"/>
      </w:r>
      <w:r>
        <w:t>7</w:t>
      </w:r>
      <w:r>
        <w:fldChar w:fldCharType="end"/>
      </w:r>
      <w:r>
        <w:fldChar w:fldCharType="end"/>
      </w:r>
    </w:p>
    <w:p>
      <w:pPr>
        <w:pStyle w:val="14"/>
        <w:tabs>
          <w:tab w:val="right" w:leader="dot" w:pos="9070"/>
          <w:tab w:val="clear" w:pos="900"/>
          <w:tab w:val="clear" w:pos="9360"/>
        </w:tabs>
      </w:pPr>
      <w:r>
        <w:fldChar w:fldCharType="begin"/>
      </w:r>
      <w:r>
        <w:instrText xml:space="preserve"> HYPERLINK \l _Toc12398 </w:instrText>
      </w:r>
      <w:r>
        <w:fldChar w:fldCharType="separate"/>
      </w:r>
      <w:r>
        <w:t xml:space="preserve">5.1.1 </w:t>
      </w:r>
      <w:r>
        <w:rPr>
          <w:rFonts w:hint="eastAsia"/>
        </w:rPr>
        <w:t>墙板构造做法</w:t>
      </w:r>
      <w:r>
        <w:tab/>
      </w:r>
      <w:r>
        <w:fldChar w:fldCharType="begin"/>
      </w:r>
      <w:r>
        <w:instrText xml:space="preserve"> PAGEREF _Toc12398 \h </w:instrText>
      </w:r>
      <w:r>
        <w:fldChar w:fldCharType="separate"/>
      </w:r>
      <w:r>
        <w:t>7</w:t>
      </w:r>
      <w:r>
        <w:fldChar w:fldCharType="end"/>
      </w:r>
      <w:r>
        <w:fldChar w:fldCharType="end"/>
      </w:r>
    </w:p>
    <w:p>
      <w:pPr>
        <w:pStyle w:val="14"/>
        <w:tabs>
          <w:tab w:val="right" w:leader="dot" w:pos="9070"/>
          <w:tab w:val="clear" w:pos="900"/>
          <w:tab w:val="clear" w:pos="9360"/>
        </w:tabs>
      </w:pPr>
      <w:r>
        <w:fldChar w:fldCharType="begin"/>
      </w:r>
      <w:r>
        <w:instrText xml:space="preserve"> HYPERLINK \l _Toc9961 </w:instrText>
      </w:r>
      <w:r>
        <w:fldChar w:fldCharType="separate"/>
      </w:r>
      <w:r>
        <w:t xml:space="preserve">5.1.2 </w:t>
      </w:r>
      <w:r>
        <w:rPr>
          <w:rFonts w:hint="eastAsia"/>
        </w:rPr>
        <w:t>墙板空气声隔声性能</w:t>
      </w:r>
      <w:r>
        <w:tab/>
      </w:r>
      <w:r>
        <w:fldChar w:fldCharType="begin"/>
      </w:r>
      <w:r>
        <w:instrText xml:space="preserve"> PAGEREF _Toc9961 \h </w:instrText>
      </w:r>
      <w:r>
        <w:fldChar w:fldCharType="separate"/>
      </w:r>
      <w:r>
        <w:t>8</w:t>
      </w:r>
      <w:r>
        <w:fldChar w:fldCharType="end"/>
      </w:r>
      <w:r>
        <w:fldChar w:fldCharType="end"/>
      </w:r>
    </w:p>
    <w:p>
      <w:pPr>
        <w:pStyle w:val="20"/>
        <w:tabs>
          <w:tab w:val="right" w:leader="dot" w:pos="9070"/>
          <w:tab w:val="clear" w:pos="540"/>
          <w:tab w:val="clear" w:pos="9360"/>
        </w:tabs>
      </w:pPr>
      <w:r>
        <w:fldChar w:fldCharType="begin"/>
      </w:r>
      <w:r>
        <w:instrText xml:space="preserve"> HYPERLINK \l _Toc10743 </w:instrText>
      </w:r>
      <w:r>
        <w:fldChar w:fldCharType="separate"/>
      </w:r>
      <w:r>
        <w:t xml:space="preserve">5.2 </w:t>
      </w:r>
      <w:r>
        <w:rPr>
          <w:rFonts w:hint="eastAsia"/>
        </w:rPr>
        <w:t>门窗的空气声隔声量</w:t>
      </w:r>
      <w:r>
        <w:tab/>
      </w:r>
      <w:r>
        <w:fldChar w:fldCharType="begin"/>
      </w:r>
      <w:r>
        <w:instrText xml:space="preserve"> PAGEREF _Toc10743 \h </w:instrText>
      </w:r>
      <w:r>
        <w:fldChar w:fldCharType="separate"/>
      </w:r>
      <w:r>
        <w:t>10</w:t>
      </w:r>
      <w:r>
        <w:fldChar w:fldCharType="end"/>
      </w:r>
      <w:r>
        <w:fldChar w:fldCharType="end"/>
      </w:r>
    </w:p>
    <w:p>
      <w:pPr>
        <w:pStyle w:val="18"/>
        <w:tabs>
          <w:tab w:val="right" w:leader="dot" w:pos="9070"/>
          <w:tab w:val="clear" w:pos="180"/>
          <w:tab w:val="clear" w:pos="9360"/>
        </w:tabs>
      </w:pPr>
      <w:r>
        <w:fldChar w:fldCharType="begin"/>
      </w:r>
      <w:r>
        <w:instrText xml:space="preserve"> HYPERLINK \l _Toc13949 </w:instrText>
      </w:r>
      <w:r>
        <w:fldChar w:fldCharType="separate"/>
      </w:r>
      <w:r>
        <w:t xml:space="preserve">6 </w:t>
      </w:r>
      <w:r>
        <w:rPr>
          <w:rFonts w:hint="eastAsia"/>
        </w:rPr>
        <w:t>楼板撞击声隔声性能</w:t>
      </w:r>
      <w:r>
        <w:tab/>
      </w:r>
      <w:r>
        <w:fldChar w:fldCharType="begin"/>
      </w:r>
      <w:r>
        <w:instrText xml:space="preserve"> PAGEREF _Toc13949 \h </w:instrText>
      </w:r>
      <w:r>
        <w:fldChar w:fldCharType="separate"/>
      </w:r>
      <w:r>
        <w:t>11</w:t>
      </w:r>
      <w:r>
        <w:fldChar w:fldCharType="end"/>
      </w:r>
      <w:r>
        <w:fldChar w:fldCharType="end"/>
      </w:r>
    </w:p>
    <w:p>
      <w:pPr>
        <w:pStyle w:val="18"/>
        <w:tabs>
          <w:tab w:val="right" w:leader="dot" w:pos="9070"/>
          <w:tab w:val="clear" w:pos="180"/>
          <w:tab w:val="clear" w:pos="9360"/>
        </w:tabs>
      </w:pPr>
      <w:r>
        <w:fldChar w:fldCharType="begin"/>
      </w:r>
      <w:r>
        <w:instrText xml:space="preserve"> HYPERLINK \l _Toc13392 </w:instrText>
      </w:r>
      <w:r>
        <w:fldChar w:fldCharType="separate"/>
      </w:r>
      <w:r>
        <w:rPr>
          <w:kern w:val="2"/>
        </w:rPr>
        <w:t xml:space="preserve">7 </w:t>
      </w:r>
      <w:r>
        <w:rPr>
          <w:rFonts w:hint="eastAsia"/>
          <w:kern w:val="2"/>
        </w:rPr>
        <w:t>结论</w:t>
      </w:r>
      <w:r>
        <w:tab/>
      </w:r>
      <w:r>
        <w:fldChar w:fldCharType="begin"/>
      </w:r>
      <w:r>
        <w:instrText xml:space="preserve"> PAGEREF _Toc13392 \h </w:instrText>
      </w:r>
      <w:r>
        <w:fldChar w:fldCharType="separate"/>
      </w:r>
      <w:r>
        <w:t>11</w:t>
      </w:r>
      <w:r>
        <w:fldChar w:fldCharType="end"/>
      </w:r>
      <w:r>
        <w:fldChar w:fldCharType="end"/>
      </w:r>
    </w:p>
    <w:p>
      <w:pPr>
        <w:pStyle w:val="18"/>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pPr>
        <w:pStyle w:val="2"/>
        <w:ind w:left="669" w:hanging="669"/>
      </w:pPr>
      <w:bookmarkStart w:id="11" w:name="_Toc5757"/>
      <w:r>
        <w:rPr>
          <w:rFonts w:hint="eastAsia"/>
        </w:rPr>
        <w:t>建筑概况</w:t>
      </w:r>
      <w:bookmarkEnd w:id="11"/>
    </w:p>
    <w:p>
      <w:pPr>
        <w:pStyle w:val="3"/>
        <w:ind w:firstLine="420"/>
        <w:jc w:val="center"/>
      </w:pPr>
      <w:r>
        <w:rPr>
          <w:rFonts w:hint="eastAsia"/>
        </w:rPr>
        <w:t>表</w:t>
      </w:r>
      <w:r>
        <w:t>1.1</w:t>
      </w:r>
      <w:r>
        <w:rPr>
          <w:rFonts w:hint="eastAsia"/>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51"/>
        <w:gridCol w:w="62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rPr>
                <w:rFonts w:ascii="宋体" w:hAnsi="宋体"/>
                <w:lang w:val="en-US"/>
              </w:rPr>
            </w:pPr>
            <w:r>
              <w:rPr>
                <w:rFonts w:hint="eastAsia" w:ascii="宋体" w:hAnsi="宋体"/>
                <w:lang w:val="en-US"/>
              </w:rPr>
              <w:t>工程名称</w:t>
            </w:r>
          </w:p>
        </w:tc>
        <w:tc>
          <w:tcPr>
            <w:tcW w:w="6056" w:type="dxa"/>
          </w:tcPr>
          <w:p>
            <w:pPr>
              <w:pStyle w:val="3"/>
              <w:rPr>
                <w:rFonts w:ascii="宋体" w:hAnsi="宋体"/>
                <w:lang w:val="en-US"/>
              </w:rPr>
            </w:pPr>
            <w:bookmarkStart w:id="12" w:name="工程名称"/>
            <w:r>
              <w:t>博物馆</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rPr>
                <w:rFonts w:ascii="宋体" w:hAnsi="宋体"/>
                <w:lang w:val="en-US"/>
              </w:rPr>
            </w:pPr>
            <w:r>
              <w:rPr>
                <w:rFonts w:hint="eastAsia" w:ascii="宋体" w:hAnsi="宋体"/>
                <w:lang w:val="en-US"/>
              </w:rPr>
              <w:t>建筑面积</w:t>
            </w:r>
            <w:r>
              <w:rPr>
                <w:lang w:val="en-US"/>
              </w:rPr>
              <w:t>(</w:t>
            </w:r>
            <w:r>
              <w:rPr>
                <w:sz w:val="24"/>
                <w:lang w:val="en-US"/>
              </w:rPr>
              <w:t>m</w:t>
            </w:r>
            <w:r>
              <w:rPr>
                <w:sz w:val="24"/>
                <w:vertAlign w:val="superscript"/>
                <w:lang w:val="en-US"/>
              </w:rPr>
              <w:t>2</w:t>
            </w:r>
            <w:r>
              <w:rPr>
                <w:lang w:val="en-US"/>
              </w:rPr>
              <w:t>)</w:t>
            </w:r>
          </w:p>
        </w:tc>
        <w:tc>
          <w:tcPr>
            <w:tcW w:w="6056" w:type="dxa"/>
          </w:tcPr>
          <w:p>
            <w:pPr>
              <w:pStyle w:val="3"/>
              <w:rPr>
                <w:rFonts w:ascii="宋体" w:hAnsi="宋体"/>
                <w:lang w:val="en-US"/>
              </w:rPr>
            </w:pPr>
            <w:r>
              <w:rPr>
                <w:rFonts w:hint="eastAsia" w:ascii="宋体" w:hAnsi="宋体"/>
                <w:lang w:val="en-US"/>
              </w:rPr>
              <w:t>地上</w:t>
            </w:r>
            <w:bookmarkStart w:id="13" w:name="地上建筑面积"/>
            <w:r>
              <w:rPr>
                <w:rFonts w:hint="eastAsia" w:ascii="宋体" w:hAnsi="宋体"/>
                <w:lang w:val="en-US"/>
              </w:rPr>
              <w:t>3883</w:t>
            </w:r>
            <w:bookmarkEnd w:id="13"/>
            <w:r>
              <w:rPr>
                <w:rFonts w:hint="eastAsia" w:ascii="宋体" w:hAnsi="宋体"/>
                <w:lang w:val="en-US"/>
              </w:rPr>
              <w:t xml:space="preserve">    地下</w:t>
            </w:r>
            <w:bookmarkStart w:id="14" w:name="地下建筑面积"/>
            <w:r>
              <w:rPr>
                <w:rFonts w:hint="eastAsia" w:ascii="宋体" w:hAnsi="宋体"/>
                <w:lang w:val="en-US"/>
              </w:rPr>
              <w:t>0</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rPr>
                <w:rFonts w:ascii="宋体" w:hAnsi="宋体"/>
                <w:lang w:val="en-US"/>
              </w:rPr>
            </w:pPr>
            <w:r>
              <w:rPr>
                <w:rFonts w:hint="eastAsia" w:ascii="宋体" w:hAnsi="宋体"/>
                <w:lang w:val="en-US"/>
              </w:rPr>
              <w:t>建筑层数</w:t>
            </w:r>
          </w:p>
        </w:tc>
        <w:tc>
          <w:tcPr>
            <w:tcW w:w="6056" w:type="dxa"/>
          </w:tcPr>
          <w:p>
            <w:pPr>
              <w:pStyle w:val="3"/>
              <w:rPr>
                <w:rFonts w:ascii="宋体" w:hAnsi="宋体"/>
                <w:lang w:val="en-US"/>
              </w:rPr>
            </w:pPr>
            <w:r>
              <w:rPr>
                <w:rFonts w:hint="eastAsia" w:ascii="宋体" w:hAnsi="宋体"/>
                <w:lang w:val="en-US"/>
              </w:rPr>
              <w:t>地上</w:t>
            </w:r>
            <w:bookmarkStart w:id="15" w:name="地上建筑层数"/>
            <w:r>
              <w:rPr>
                <w:rFonts w:hint="eastAsia" w:ascii="宋体" w:hAnsi="宋体"/>
                <w:lang w:val="en-US"/>
              </w:rPr>
              <w:t>4</w:t>
            </w:r>
            <w:bookmarkEnd w:id="15"/>
            <w:r>
              <w:rPr>
                <w:rFonts w:hint="eastAsia" w:ascii="宋体" w:hAnsi="宋体"/>
                <w:lang w:val="en-US"/>
              </w:rPr>
              <w:t xml:space="preserve">        地下</w:t>
            </w:r>
            <w:bookmarkStart w:id="16" w:name="地下建筑层数"/>
            <w:r>
              <w:t>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rPr>
                <w:rFonts w:ascii="宋体" w:hAnsi="宋体"/>
                <w:lang w:val="en-US"/>
              </w:rPr>
            </w:pPr>
            <w:r>
              <w:rPr>
                <w:rFonts w:hint="eastAsia" w:ascii="宋体" w:hAnsi="宋体"/>
                <w:lang w:val="en-US"/>
              </w:rPr>
              <w:t>建筑高度（</w:t>
            </w:r>
            <w:r>
              <w:rPr>
                <w:lang w:val="en-US"/>
              </w:rPr>
              <w:t>m</w:t>
            </w:r>
            <w:r>
              <w:rPr>
                <w:rFonts w:hint="eastAsia" w:ascii="宋体" w:hAnsi="宋体"/>
                <w:lang w:val="en-US"/>
              </w:rPr>
              <w:t>）</w:t>
            </w:r>
          </w:p>
        </w:tc>
        <w:tc>
          <w:tcPr>
            <w:tcW w:w="6056" w:type="dxa"/>
          </w:tcPr>
          <w:p>
            <w:pPr>
              <w:pStyle w:val="3"/>
              <w:rPr>
                <w:rFonts w:ascii="宋体" w:hAnsi="宋体"/>
                <w:lang w:val="en-US"/>
              </w:rPr>
            </w:pPr>
            <w:r>
              <w:rPr>
                <w:rFonts w:hint="eastAsia" w:ascii="宋体" w:hAnsi="宋体"/>
                <w:lang w:val="en-US"/>
              </w:rPr>
              <w:t>地上</w:t>
            </w:r>
            <w:bookmarkStart w:id="17" w:name="地上建筑高度"/>
            <w:r>
              <w:rPr>
                <w:rFonts w:hint="eastAsia" w:ascii="宋体" w:hAnsi="宋体"/>
                <w:lang w:val="en-US"/>
              </w:rPr>
              <w:t>12.0</w:t>
            </w:r>
            <w:bookmarkEnd w:id="17"/>
            <w:r>
              <w:rPr>
                <w:rFonts w:hint="eastAsia" w:ascii="宋体" w:hAnsi="宋体"/>
                <w:lang w:val="en-US"/>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rPr>
                <w:rFonts w:ascii="宋体" w:hAnsi="宋体"/>
                <w:lang w:val="en-US"/>
              </w:rPr>
            </w:pPr>
            <w:r>
              <w:rPr>
                <w:rFonts w:hint="eastAsia" w:ascii="宋体" w:hAnsi="宋体"/>
                <w:lang w:val="en-US"/>
              </w:rPr>
              <w:t>北向角度（°）</w:t>
            </w:r>
          </w:p>
        </w:tc>
        <w:tc>
          <w:tcPr>
            <w:tcW w:w="6056" w:type="dxa"/>
          </w:tcPr>
          <w:p>
            <w:pPr>
              <w:pStyle w:val="3"/>
              <w:rPr>
                <w:rFonts w:ascii="宋体" w:hAnsi="宋体"/>
                <w:lang w:val="en-US"/>
              </w:rPr>
            </w:pPr>
            <w:bookmarkStart w:id="18" w:name="北向角度"/>
            <w:r>
              <w:t>90</w:t>
            </w:r>
            <w:bookmarkEnd w:id="18"/>
          </w:p>
        </w:tc>
      </w:tr>
    </w:tbl>
    <w:p>
      <w:pPr>
        <w:jc w:val="center"/>
        <w:rPr>
          <w:lang w:val="en-US"/>
        </w:rPr>
      </w:pPr>
      <w:bookmarkStart w:id="19" w:name="围护结构概况"/>
      <w:bookmarkEnd w:id="19"/>
      <w:bookmarkStart w:id="20" w:name="单体模型观察图"/>
      <w:bookmarkEnd w:id="20"/>
      <w:r>
        <w:rPr>
          <w:lang w:val="en-US"/>
        </w:rPr>
        <w:t>请先在[模型观察]命令中保存图片！</w:t>
      </w:r>
    </w:p>
    <w:p>
      <w:pPr>
        <w:jc w:val="center"/>
        <w:rPr>
          <w:rFonts w:ascii="黑体" w:hAnsi="黑体" w:eastAsia="黑体"/>
          <w:b/>
          <w:i/>
          <w:lang w:val="en-US"/>
        </w:rPr>
      </w:pPr>
      <w:r>
        <w:rPr>
          <w:rFonts w:hint="eastAsia" w:ascii="黑体" w:hAnsi="黑体" w:eastAsia="黑体"/>
          <w:lang w:val="en-US"/>
        </w:rPr>
        <w:t>图</w:t>
      </w:r>
      <w:r>
        <w:rPr>
          <w:rFonts w:ascii="黑体" w:hAnsi="黑体" w:eastAsia="黑体"/>
          <w:lang w:val="en-US"/>
        </w:rPr>
        <w:t xml:space="preserve">1-1 </w:t>
      </w:r>
      <w:r>
        <w:rPr>
          <w:rFonts w:hint="eastAsia" w:ascii="黑体" w:hAnsi="黑体" w:eastAsia="黑体"/>
          <w:lang w:val="en-US"/>
        </w:rPr>
        <w:t>建筑模型</w:t>
      </w:r>
    </w:p>
    <w:p>
      <w:pPr>
        <w:pStyle w:val="2"/>
        <w:ind w:left="669" w:hanging="669"/>
      </w:pPr>
      <w:bookmarkStart w:id="21" w:name="_Toc20127"/>
      <w:r>
        <w:rPr>
          <w:rFonts w:hint="eastAsia"/>
        </w:rPr>
        <w:t>评价依据</w:t>
      </w:r>
      <w:bookmarkEnd w:id="21"/>
    </w:p>
    <w:p>
      <w:pPr>
        <w:pStyle w:val="3"/>
        <w:numPr>
          <w:ilvl w:val="0"/>
          <w:numId w:val="2"/>
        </w:numPr>
        <w:rPr>
          <w:lang w:val="en-US"/>
        </w:rPr>
      </w:pPr>
      <w:bookmarkStart w:id="22" w:name="计算依据"/>
      <w:bookmarkEnd w:id="22"/>
      <w:r>
        <w:rPr>
          <w:rFonts w:hint="eastAsia"/>
          <w:lang w:val="en-US"/>
        </w:rPr>
        <w:t>《绿色建筑评价标准》</w:t>
      </w:r>
      <w:r>
        <w:rPr>
          <w:lang w:val="en-US"/>
        </w:rPr>
        <w:t>GB/T50378-2019</w:t>
      </w:r>
    </w:p>
    <w:p>
      <w:pPr>
        <w:pStyle w:val="3"/>
        <w:numPr>
          <w:ilvl w:val="0"/>
          <w:numId w:val="2"/>
        </w:numPr>
        <w:rPr>
          <w:lang w:val="en-US"/>
        </w:rPr>
      </w:pPr>
      <w:r>
        <w:rPr>
          <w:rFonts w:hint="eastAsia"/>
          <w:lang w:val="en-US"/>
        </w:rPr>
        <w:t>《绿色建筑评价技术细则》</w:t>
      </w:r>
    </w:p>
    <w:p>
      <w:pPr>
        <w:pStyle w:val="3"/>
        <w:numPr>
          <w:ilvl w:val="0"/>
          <w:numId w:val="2"/>
        </w:numPr>
        <w:rPr>
          <w:lang w:val="en-US"/>
        </w:rPr>
      </w:pPr>
      <w:r>
        <w:rPr>
          <w:rFonts w:hint="eastAsia"/>
          <w:lang w:val="en-US"/>
        </w:rPr>
        <w:t>《民用建筑隔声设计规范》</w:t>
      </w:r>
      <w:r>
        <w:rPr>
          <w:lang w:val="en-US"/>
        </w:rPr>
        <w:t>GB50118-2010</w:t>
      </w:r>
    </w:p>
    <w:p>
      <w:pPr>
        <w:pStyle w:val="3"/>
        <w:numPr>
          <w:ilvl w:val="0"/>
          <w:numId w:val="2"/>
        </w:numPr>
        <w:rPr>
          <w:lang w:val="en-US"/>
        </w:rPr>
      </w:pPr>
      <w:r>
        <w:rPr>
          <w:rFonts w:hint="eastAsia"/>
          <w:lang w:val="en-US"/>
        </w:rPr>
        <w:t>《建筑隔声评价标准》</w:t>
      </w:r>
      <w:r>
        <w:rPr>
          <w:lang w:val="en-US"/>
        </w:rPr>
        <w:t>GB/T 50121-2005</w:t>
      </w:r>
    </w:p>
    <w:p>
      <w:pPr>
        <w:pStyle w:val="3"/>
        <w:numPr>
          <w:ilvl w:val="0"/>
          <w:numId w:val="2"/>
        </w:numPr>
        <w:rPr>
          <w:lang w:val="en-US"/>
        </w:rPr>
      </w:pPr>
      <w:r>
        <w:rPr>
          <w:rFonts w:hint="eastAsia"/>
          <w:lang w:val="en-US"/>
        </w:rPr>
        <w:t>《建筑声学设计手册》</w:t>
      </w:r>
    </w:p>
    <w:p>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pPr>
        <w:pStyle w:val="3"/>
        <w:numPr>
          <w:ilvl w:val="0"/>
          <w:numId w:val="2"/>
        </w:numPr>
        <w:rPr>
          <w:lang w:val="en-US"/>
        </w:rPr>
      </w:pPr>
      <w:r>
        <w:rPr>
          <w:rFonts w:hint="eastAsia"/>
          <w:lang w:val="en-US"/>
        </w:rPr>
        <w:t>《声学手册》</w:t>
      </w:r>
    </w:p>
    <w:p>
      <w:pPr>
        <w:pStyle w:val="3"/>
        <w:numPr>
          <w:ilvl w:val="0"/>
          <w:numId w:val="2"/>
        </w:numPr>
        <w:rPr>
          <w:lang w:val="en-US"/>
        </w:rPr>
      </w:pPr>
      <w:r>
        <w:rPr>
          <w:rFonts w:hint="eastAsia"/>
          <w:lang w:val="en-US"/>
        </w:rPr>
        <w:t>《噪声与振动控制工程手册 》</w:t>
      </w:r>
    </w:p>
    <w:p>
      <w:pPr>
        <w:pStyle w:val="3"/>
        <w:numPr>
          <w:ilvl w:val="0"/>
          <w:numId w:val="2"/>
        </w:numPr>
        <w:rPr>
          <w:lang w:val="en-US"/>
        </w:rPr>
      </w:pPr>
      <w:r>
        <w:rPr>
          <w:rFonts w:hint="eastAsia"/>
          <w:lang w:val="en-US"/>
        </w:rPr>
        <w:t>《建筑声学设计原理》</w:t>
      </w:r>
    </w:p>
    <w:p>
      <w:pPr>
        <w:pStyle w:val="3"/>
        <w:numPr>
          <w:ilvl w:val="0"/>
          <w:numId w:val="2"/>
        </w:numPr>
        <w:rPr>
          <w:lang w:val="en-US"/>
        </w:rPr>
      </w:pPr>
      <w:r>
        <w:rPr>
          <w:rFonts w:hint="eastAsia"/>
          <w:lang w:val="en-US"/>
        </w:rPr>
        <w:t>《建筑设计资料集》（第二版）第2集</w:t>
      </w:r>
    </w:p>
    <w:p>
      <w:pPr>
        <w:pStyle w:val="2"/>
        <w:ind w:left="669" w:hanging="669"/>
      </w:pPr>
      <w:bookmarkStart w:id="23" w:name="_Toc4250"/>
      <w:r>
        <w:rPr>
          <w:rFonts w:hint="eastAsia"/>
        </w:rPr>
        <w:t>标准</w:t>
      </w:r>
      <w:r>
        <w:t>要求</w:t>
      </w:r>
      <w:bookmarkEnd w:id="23"/>
    </w:p>
    <w:p>
      <w:pPr>
        <w:pStyle w:val="3"/>
        <w:ind w:firstLine="420" w:firstLineChars="200"/>
      </w:pPr>
      <w:r>
        <w:rPr>
          <w:rFonts w:hint="eastAsia"/>
        </w:rPr>
        <w:t>《绿色建筑评价标准》GB</w:t>
      </w:r>
      <w:r>
        <w:t xml:space="preserve"> </w:t>
      </w:r>
      <w:r>
        <w:rPr>
          <w:rFonts w:hint="eastAsia"/>
        </w:rPr>
        <w:t>/T 50378-201</w:t>
      </w:r>
      <w:r>
        <w:t>9</w:t>
      </w:r>
      <w:r>
        <w:rPr>
          <w:rFonts w:hint="eastAsia"/>
        </w:rPr>
        <w:t>第</w:t>
      </w:r>
      <w:r>
        <w:t>5</w:t>
      </w:r>
      <w:r>
        <w:rPr>
          <w:rFonts w:hint="eastAsia"/>
        </w:rPr>
        <w:t>.1.</w:t>
      </w:r>
      <w:r>
        <w:t>4</w:t>
      </w:r>
      <w:r>
        <w:rPr>
          <w:rFonts w:hint="eastAsia"/>
        </w:rPr>
        <w:t>条、第5.2.</w:t>
      </w:r>
      <w:r>
        <w:t>7</w:t>
      </w:r>
      <w:r>
        <w:rPr>
          <w:rFonts w:hint="eastAsia"/>
        </w:rPr>
        <w:t>条对建筑围护结构隔声</w:t>
      </w:r>
      <w:r>
        <w:t>性能</w:t>
      </w:r>
      <w:r>
        <w:rPr>
          <w:rFonts w:hint="eastAsia"/>
        </w:rPr>
        <w:t>提出了明确要求。</w:t>
      </w:r>
    </w:p>
    <w:p>
      <w:pPr>
        <w:pStyle w:val="3"/>
        <w:numPr>
          <w:ilvl w:val="0"/>
          <w:numId w:val="3"/>
        </w:numPr>
        <w:rPr>
          <w:b/>
        </w:rPr>
      </w:pPr>
      <w:r>
        <w:rPr>
          <w:rFonts w:hint="eastAsia"/>
          <w:b/>
        </w:rPr>
        <w:t>控制项要求</w:t>
      </w:r>
      <w:r>
        <w:rPr>
          <w:b/>
        </w:rPr>
        <w:t xml:space="preserve">： </w:t>
      </w:r>
    </w:p>
    <w:p>
      <w:pPr>
        <w:pStyle w:val="3"/>
        <w:ind w:left="360" w:leftChars="200"/>
      </w:pPr>
      <w:r>
        <w:rPr>
          <w:rFonts w:hint="eastAsia"/>
        </w:rPr>
        <w:t>5.1.4 主要功能房间的室内噪声级和隔声性应符合下列规定：</w:t>
      </w:r>
    </w:p>
    <w:p>
      <w:pPr>
        <w:pStyle w:val="3"/>
        <w:ind w:left="720" w:leftChars="400"/>
      </w:pPr>
      <w:r>
        <w:rPr>
          <w:rFonts w:hint="eastAsia"/>
        </w:rPr>
        <w:t>1 室内噪声级应满足现行国家标准《民用建筑隔声设计规范》GB 50118 中的低限要求；</w:t>
      </w:r>
    </w:p>
    <w:p>
      <w:pPr>
        <w:pStyle w:val="3"/>
        <w:ind w:left="720" w:leftChars="400"/>
      </w:pPr>
      <w:r>
        <w:rPr>
          <w:rFonts w:hint="eastAsia"/>
        </w:rPr>
        <w:t>2 外墙、隔墙、楼板和门窗的隔声性能应满足现行国家标准《民用建筑隔声设计规范》GB 50118 中的低限要求。</w:t>
      </w:r>
    </w:p>
    <w:p>
      <w:pPr>
        <w:pStyle w:val="3"/>
        <w:numPr>
          <w:ilvl w:val="0"/>
          <w:numId w:val="4"/>
        </w:numPr>
        <w:rPr>
          <w:b/>
        </w:rPr>
      </w:pPr>
      <w:r>
        <w:rPr>
          <w:rFonts w:hint="eastAsia"/>
          <w:b/>
        </w:rPr>
        <w:t>评分项要求</w:t>
      </w:r>
      <w:r>
        <w:rPr>
          <w:b/>
        </w:rPr>
        <w:t>：</w:t>
      </w:r>
    </w:p>
    <w:p>
      <w:pPr>
        <w:pStyle w:val="3"/>
        <w:ind w:firstLine="315" w:firstLineChars="150"/>
      </w:pPr>
      <w:r>
        <w:rPr>
          <w:rFonts w:hint="eastAsia"/>
        </w:rPr>
        <w:t>5.2.7 主要功能房间的隔声性能良好，评价总分值为10 分，并按下列规则分别评分并累计：</w:t>
      </w:r>
    </w:p>
    <w:p>
      <w:pPr>
        <w:pStyle w:val="3"/>
        <w:ind w:left="720" w:leftChars="400"/>
      </w:pPr>
      <w:r>
        <w:rPr>
          <w:rFonts w:hint="eastAsia"/>
        </w:rPr>
        <w:t>1 构件及相邻房间之间的空气声隔声性能达到现行国家标准《民用建筑隔声设计规范》GB50118中的低限标准限值和高要求标准限值的平均值，得3分；达到高要求标准限值，得5分；</w:t>
      </w:r>
    </w:p>
    <w:p>
      <w:pPr>
        <w:pStyle w:val="3"/>
        <w:ind w:left="720" w:leftChars="400"/>
      </w:pPr>
      <w:r>
        <w:rPr>
          <w:rFonts w:hint="eastAsia"/>
        </w:rPr>
        <w:t>2 楼板的撞击声隔声性能达到现行国家标准《民用建筑隔声设计规范》GB50118中的低限标准限值和高要求标准限值的平均值，得3分；达到高要求标准限值，得5分。</w:t>
      </w:r>
    </w:p>
    <w:p>
      <w:pPr>
        <w:pStyle w:val="2"/>
        <w:ind w:left="669" w:hanging="669"/>
        <w:rPr>
          <w:kern w:val="2"/>
        </w:rPr>
      </w:pPr>
      <w:bookmarkStart w:id="24" w:name="_Toc26359"/>
      <w:bookmarkStart w:id="25" w:name="_Toc438716944"/>
      <w:r>
        <w:rPr>
          <w:rFonts w:hint="eastAsia"/>
          <w:kern w:val="2"/>
        </w:rPr>
        <w:t>隔声理论概述</w:t>
      </w:r>
      <w:bookmarkEnd w:id="24"/>
    </w:p>
    <w:p>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pPr>
        <w:pStyle w:val="3"/>
        <w:numPr>
          <w:ilvl w:val="0"/>
          <w:numId w:val="5"/>
        </w:numPr>
      </w:pPr>
      <w:r>
        <w:rPr>
          <w:rFonts w:hint="eastAsia"/>
        </w:rPr>
        <w:t>空气声：声源经过空气向四周传播的噪声，如室外交通噪声。</w:t>
      </w:r>
    </w:p>
    <w:p>
      <w:pPr>
        <w:pStyle w:val="3"/>
        <w:numPr>
          <w:ilvl w:val="0"/>
          <w:numId w:val="5"/>
        </w:numPr>
      </w:pPr>
      <w:r>
        <w:rPr>
          <w:rFonts w:hint="eastAsia"/>
        </w:rPr>
        <w:t>撞击声：两物体相互撞击产生的噪声，通过固体来传播，如楼板上行走</w:t>
      </w:r>
      <w:r>
        <w:t>的脚步声。</w:t>
      </w:r>
    </w:p>
    <w:p>
      <w:pPr>
        <w:pStyle w:val="13"/>
        <w:spacing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3335758" cy="1358420"/>
                    </a:xfrm>
                    <a:prstGeom prst="rect">
                      <a:avLst/>
                    </a:prstGeom>
                  </pic:spPr>
                </pic:pic>
              </a:graphicData>
            </a:graphic>
          </wp:inline>
        </w:drawing>
      </w:r>
    </w:p>
    <w:p>
      <w:pPr>
        <w:jc w:val="center"/>
        <w:rPr>
          <w:b/>
          <w:i/>
          <w:lang w:val="en-US"/>
        </w:rPr>
      </w:pPr>
      <w:r>
        <w:rPr>
          <w:rFonts w:hint="eastAsia"/>
          <w:lang w:val="en-US"/>
        </w:rPr>
        <w:t>图</w:t>
      </w:r>
      <w:r>
        <w:rPr>
          <w:lang w:val="en-US"/>
        </w:rPr>
        <w:t xml:space="preserve">4-1 </w:t>
      </w:r>
      <w:r>
        <w:rPr>
          <w:rFonts w:hint="eastAsia"/>
          <w:lang w:val="en-US"/>
        </w:rPr>
        <w:t>空气声和撞击声</w:t>
      </w:r>
    </w:p>
    <w:p>
      <w:pPr>
        <w:pStyle w:val="4"/>
      </w:pPr>
      <w:bookmarkStart w:id="26" w:name="_Toc15521"/>
      <w:r>
        <w:rPr>
          <w:rFonts w:hint="eastAsia"/>
        </w:rPr>
        <w:t>原理概要</w:t>
      </w:r>
      <w:bookmarkEnd w:id="26"/>
    </w:p>
    <w:p>
      <w:pPr>
        <w:pStyle w:val="3"/>
        <w:ind w:firstLine="420" w:firstLineChars="200"/>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pPr>
        <w:widowControl w:val="0"/>
        <w:jc w:val="center"/>
        <w:rPr>
          <w:rFonts w:ascii="Calibri" w:hAnsi="Calibri"/>
          <w:kern w:val="2"/>
          <w:szCs w:val="22"/>
          <w:lang w:val="en-US"/>
        </w:rPr>
      </w:pPr>
      <w:r>
        <w:rPr>
          <w:rFonts w:ascii="宋体" w:hAnsi="宋体"/>
        </w:rPr>
        <w:object>
          <v:shape id="_x0000_i1025" o:spt="75" type="#_x0000_t75" style="height:31.25pt;width:5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p>
      <w:pPr>
        <w:pStyle w:val="3"/>
        <w:ind w:left="360" w:leftChars="200"/>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pPr>
        <w:pStyle w:val="3"/>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pPr>
        <w:pStyle w:val="3"/>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1"/>
                    <a:stretch>
                      <a:fillRect/>
                    </a:stretch>
                  </pic:blipFill>
                  <pic:spPr>
                    <a:xfrm>
                      <a:off x="0" y="0"/>
                      <a:ext cx="5759450" cy="2385060"/>
                    </a:xfrm>
                    <a:prstGeom prst="rect">
                      <a:avLst/>
                    </a:prstGeom>
                  </pic:spPr>
                </pic:pic>
              </a:graphicData>
            </a:graphic>
          </wp:inline>
        </w:drawing>
      </w:r>
    </w:p>
    <w:p>
      <w:pPr>
        <w:ind w:firstLine="720" w:firstLineChars="400"/>
        <w:rPr>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pPr>
        <w:pStyle w:val="4"/>
      </w:pPr>
      <w:bookmarkStart w:id="27" w:name="_Toc503275877"/>
      <w:bookmarkStart w:id="28" w:name="_Toc503800603"/>
      <w:bookmarkStart w:id="29" w:name="_Toc503800668"/>
      <w:bookmarkStart w:id="30" w:name="_Toc26703"/>
      <w:r>
        <w:rPr>
          <w:rFonts w:hint="eastAsia"/>
        </w:rPr>
        <w:t>质量定律</w:t>
      </w:r>
      <w:bookmarkEnd w:id="27"/>
      <w:bookmarkEnd w:id="28"/>
      <w:bookmarkEnd w:id="29"/>
      <w:bookmarkEnd w:id="30"/>
    </w:p>
    <w:p>
      <w:pPr>
        <w:pStyle w:val="3"/>
        <w:ind w:firstLine="420" w:firstLineChars="200"/>
      </w:pPr>
      <w:r>
        <w:t>如果把墙看成是无劲度、无阻尼的柔顺质量、且忽略墙的边界条件，则在声波垂直</w:t>
      </w:r>
      <w:r>
        <w:rPr>
          <w:rFonts w:hint="eastAsia"/>
        </w:rPr>
        <w:t>入</w:t>
      </w:r>
      <w:r>
        <w:t>射时，可从理论上得到墙的隔声量的计算式：</w:t>
      </w:r>
    </w:p>
    <w:p>
      <w:pPr>
        <w:ind w:right="420"/>
        <w:jc w:val="center"/>
        <w:rPr>
          <w:rFonts w:ascii="宋体" w:hAnsi="宋体"/>
        </w:rPr>
      </w:pPr>
      <w:r>
        <w:rPr>
          <w:rFonts w:ascii="宋体" w:hAnsi="宋体"/>
        </w:rPr>
        <w:object>
          <v:shape id="_x0000_i1026" o:spt="75" type="#_x0000_t75" style="height:40.75pt;width:107.3pt;" o:ole="t" filled="f" o:preferrelative="t" stroked="f" coordsize="21600,21600">
            <v:path/>
            <v:fill on="f" focussize="0,0"/>
            <v:stroke on="f" joinstyle="miter"/>
            <v:imagedata r:id="rId13" o:title=""/>
            <o:lock v:ext="edit" aspectratio="t"/>
            <w10:wrap type="none"/>
            <w10:anchorlock/>
          </v:shape>
          <o:OLEObject Type="Embed" ProgID="Equation.3" ShapeID="_x0000_i1026" DrawAspect="Content" ObjectID="_1468075726" r:id="rId12">
            <o:LockedField>false</o:LockedField>
          </o:OLEObject>
        </w:object>
      </w:r>
    </w:p>
    <w:p>
      <w:pPr>
        <w:pStyle w:val="3"/>
        <w:ind w:left="540" w:leftChars="300"/>
        <w:rPr>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pPr>
        <w:pStyle w:val="3"/>
        <w:ind w:left="540" w:leftChars="300" w:firstLine="630" w:firstLineChars="300"/>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pPr>
        <w:pStyle w:val="3"/>
        <w:ind w:left="540" w:leftChars="300" w:firstLine="630" w:firstLineChars="300"/>
      </w:pPr>
      <w:r>
        <w:rPr>
          <w:rFonts w:hint="eastAsia" w:ascii="HGB6X_CNKI" w:hAnsi="HGB6X_CNKI" w:eastAsia="HGB6X_CNKI"/>
        </w:rPr>
        <w:t>c</w:t>
      </w:r>
      <w:r>
        <w:rPr>
          <w:rFonts w:hint="eastAsia"/>
        </w:rPr>
        <w:t>——空气中的声速，一般取344 m/s</w:t>
      </w:r>
    </w:p>
    <w:p>
      <w:pPr>
        <w:pStyle w:val="3"/>
        <w:ind w:left="540" w:leftChars="300" w:firstLine="630" w:firstLineChars="300"/>
      </w:pPr>
      <w:r>
        <w:rPr>
          <w:rFonts w:hint="eastAsia" w:ascii="HGB6X_CNKI" w:hAnsi="HGB6X_CNKI" w:eastAsia="HGB6X_CNKI"/>
        </w:rPr>
        <w:t>f</w:t>
      </w:r>
      <w:r>
        <w:rPr>
          <w:rFonts w:hint="eastAsia"/>
        </w:rPr>
        <w:t>——入射声波的频率，Hz</w:t>
      </w:r>
    </w:p>
    <w:p>
      <w:pPr>
        <w:pStyle w:val="3"/>
        <w:ind w:left="360" w:leftChars="200"/>
      </w:pPr>
      <w:r>
        <w:rPr>
          <w:rFonts w:hint="eastAsia"/>
        </w:rPr>
        <w:t>一般情况下，</w:t>
      </w:r>
      <w:r>
        <w:rPr>
          <w:rFonts w:ascii="Cambria" w:hAnsi="Cambria" w:eastAsia="HGB6X_CNKI" w:cs="Cambria"/>
        </w:rPr>
        <w:t>π</w:t>
      </w:r>
      <w:r>
        <w:rPr>
          <w:rFonts w:ascii="HGB6X_CNKI" w:hAnsi="HGB6X_CNKI" w:eastAsia="HGB6X_CNKI"/>
        </w:rPr>
        <w:t>mf</w:t>
      </w:r>
      <w:r>
        <w:rPr>
          <w:rFonts w:hint="eastAsia" w:ascii="宋体" w:hAnsi="宋体" w:eastAsia="宋体" w:cs="宋体"/>
        </w:rPr>
        <w:t>＞</w:t>
      </w:r>
      <w:r>
        <w:rPr>
          <w:rFonts w:ascii="Cambria" w:hAnsi="Cambria" w:eastAsia="HGB6X_CNKI" w:cs="Cambria"/>
        </w:rPr>
        <w:t>ρ</w:t>
      </w:r>
      <w:r>
        <w:rPr>
          <w:rFonts w:ascii="HGB6X_CNKI" w:hAnsi="HGB6X_CNKI" w:eastAsia="HGB6X_CNKI"/>
          <w:vertAlign w:val="subscript"/>
        </w:rPr>
        <w:t>0</w:t>
      </w:r>
      <w:r>
        <w:rPr>
          <w:rFonts w:ascii="HGB6X_CNKI" w:hAnsi="HGB6X_CNKI" w:eastAsia="HGB6X_CNKI"/>
        </w:rPr>
        <w:t>c</w:t>
      </w:r>
      <w:r>
        <w:rPr>
          <w:rFonts w:hint="eastAsia"/>
        </w:rPr>
        <w:t>，即</w:t>
      </w:r>
      <w:r>
        <w:rPr>
          <w:rFonts w:ascii="Cambria" w:hAnsi="Cambria" w:eastAsia="HGB6X_CNKI" w:cs="Cambria"/>
        </w:rPr>
        <w:t>πmf</w:t>
      </w:r>
      <w:r>
        <w:rPr>
          <w:rFonts w:hint="cs" w:ascii="Cambria" w:hAnsi="Cambria" w:eastAsia="HGB6X_CNKI" w:cs="Cambria"/>
        </w:rPr>
        <w:t>/</w:t>
      </w:r>
      <w:r>
        <w:rPr>
          <w:rFonts w:ascii="Cambria" w:hAnsi="Cambria" w:eastAsia="HGB6X_CNKI" w:cs="Cambria"/>
        </w:rPr>
        <w:t>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hint="eastAsia" w:ascii="Cambria" w:hAnsi="Cambria" w:eastAsia="HGB6X_CNKI" w:cs="Cambria"/>
        </w:rPr>
        <w:t>1</w:t>
      </w:r>
      <w:r>
        <w:rPr>
          <w:rFonts w:hint="eastAsia"/>
        </w:rPr>
        <w:t>，上式便可简化为：</w:t>
      </w:r>
    </w:p>
    <w:p>
      <w:pPr>
        <w:pStyle w:val="3"/>
        <w:jc w:val="center"/>
      </w:pPr>
      <w:r>
        <w:rPr>
          <w:lang w:val="en-US"/>
        </w:rPr>
        <w:drawing>
          <wp:inline distT="0" distB="0" distL="0" distR="0">
            <wp:extent cx="2334895" cy="431800"/>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a:stretch>
                      <a:fillRect/>
                    </a:stretch>
                  </pic:blipFill>
                  <pic:spPr>
                    <a:xfrm>
                      <a:off x="0" y="0"/>
                      <a:ext cx="2409936" cy="445851"/>
                    </a:xfrm>
                    <a:prstGeom prst="rect">
                      <a:avLst/>
                    </a:prstGeom>
                  </pic:spPr>
                </pic:pic>
              </a:graphicData>
            </a:graphic>
          </wp:inline>
        </w:drawing>
      </w:r>
    </w:p>
    <w:p>
      <w:pPr>
        <w:pStyle w:val="13"/>
        <w:spacing w:line="240" w:lineRule="auto"/>
        <w:ind w:firstLine="420"/>
        <w:rPr>
          <w:kern w:val="0"/>
          <w:sz w:val="21"/>
          <w:szCs w:val="21"/>
          <w:lang w:val="en-GB"/>
        </w:rPr>
      </w:pPr>
      <w:r>
        <w:rPr>
          <w:rFonts w:hint="eastAsia"/>
          <w:kern w:val="0"/>
          <w:sz w:val="21"/>
          <w:szCs w:val="21"/>
          <w:lang w:val="en-GB"/>
        </w:rPr>
        <w:t>如果声波并非垂直入射，而是无规入射时，则墙的隔声量为：</w:t>
      </w:r>
    </w:p>
    <w:p>
      <w:pPr>
        <w:jc w:val="center"/>
        <w:rPr>
          <w:rFonts w:ascii="宋体" w:hAnsi="宋体"/>
        </w:rPr>
      </w:pPr>
      <w:r>
        <w:rPr>
          <w:lang w:val="en-US"/>
        </w:rPr>
        <w:drawing>
          <wp:inline distT="0" distB="0" distL="0" distR="0">
            <wp:extent cx="1879600" cy="27051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user\AppData\Local\Temp\SNAGHTMLf84bbc87.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052142" cy="295429"/>
                    </a:xfrm>
                    <a:prstGeom prst="rect">
                      <a:avLst/>
                    </a:prstGeom>
                    <a:noFill/>
                    <a:ln>
                      <a:noFill/>
                    </a:ln>
                  </pic:spPr>
                </pic:pic>
              </a:graphicData>
            </a:graphic>
          </wp:inline>
        </w:drawing>
      </w:r>
    </w:p>
    <w:p>
      <w:pPr>
        <w:pStyle w:val="13"/>
        <w:ind w:firstLine="420"/>
        <w:rPr>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pPr>
        <w:jc w:val="center"/>
        <w:rPr>
          <w:rFonts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6"/>
                    <a:stretch>
                      <a:fillRect/>
                    </a:stretch>
                  </pic:blipFill>
                  <pic:spPr>
                    <a:xfrm>
                      <a:off x="0" y="0"/>
                      <a:ext cx="3911243" cy="2598038"/>
                    </a:xfrm>
                    <a:prstGeom prst="rect">
                      <a:avLst/>
                    </a:prstGeom>
                  </pic:spPr>
                </pic:pic>
              </a:graphicData>
            </a:graphic>
          </wp:inline>
        </w:drawing>
      </w:r>
    </w:p>
    <w:p>
      <w:pPr>
        <w:jc w:val="center"/>
        <w:rPr>
          <w:lang w:val="en-US"/>
        </w:rPr>
      </w:pPr>
      <w:r>
        <w:rPr>
          <w:rFonts w:hint="eastAsia"/>
          <w:lang w:val="en-US"/>
        </w:rPr>
        <w:t>图</w:t>
      </w:r>
      <w:r>
        <w:rPr>
          <w:lang w:val="en-US"/>
        </w:rPr>
        <w:t xml:space="preserve">4-4  </w:t>
      </w:r>
      <w:r>
        <w:rPr>
          <w:rFonts w:hint="eastAsia"/>
          <w:lang w:val="en-US"/>
        </w:rPr>
        <w:t>由质量控制的柔性板的隔声量</w:t>
      </w:r>
    </w:p>
    <w:p>
      <w:pPr>
        <w:pStyle w:val="3"/>
        <w:ind w:firstLine="420" w:firstLineChars="200"/>
      </w:pPr>
      <w:r>
        <w:rPr>
          <w:rFonts w:hint="eastAsia"/>
        </w:rPr>
        <w:t>由于本式是建立在理论上的许多假定条件下导出的，计算值普遍比实测大，并不符合现场实际情况，所以一般隔声设计中采用经验公式进行隔声量计算。</w:t>
      </w:r>
    </w:p>
    <w:p>
      <w:pPr>
        <w:pStyle w:val="4"/>
      </w:pPr>
      <w:bookmarkStart w:id="31" w:name="_Toc31342"/>
      <w:r>
        <w:t>隔声</w:t>
      </w:r>
      <w:r>
        <w:rPr>
          <w:rFonts w:hint="eastAsia"/>
        </w:rPr>
        <w:t>量计算经验</w:t>
      </w:r>
      <w:r>
        <w:t>公式</w:t>
      </w:r>
      <w:bookmarkEnd w:id="31"/>
    </w:p>
    <w:p>
      <w:pPr>
        <w:pStyle w:val="3"/>
        <w:ind w:firstLine="420" w:firstLineChars="20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pPr>
        <w:pStyle w:val="3"/>
        <w:ind w:firstLine="420" w:firstLineChars="200"/>
      </w:pPr>
      <w:r>
        <w:rPr>
          <w:rFonts w:hint="eastAsia"/>
        </w:rPr>
        <w:t>一般由混凝土材料组成的建筑构件空气声隔声情况可由《建筑隔声设计——空气声隔声技术》书中推荐的经验公式</w:t>
      </w:r>
      <w:r>
        <w:t>进行构件隔声计算分析：</w:t>
      </w:r>
    </w:p>
    <w:p>
      <w:pPr>
        <w:pStyle w:val="3"/>
        <w:ind w:firstLine="480" w:firstLineChars="200"/>
      </w:pPr>
      <m:oMathPara>
        <m:oMath>
          <m:r>
            <m:rPr/>
            <w:rPr>
              <w:rFonts w:ascii="Cambria Math" w:hAnsi="Cambria Math"/>
              <w:sz w:val="24"/>
              <w:szCs w:val="24"/>
            </w:rPr>
            <m:t>R</m:t>
          </m:r>
          <m:r>
            <m:rPr>
              <m:sty m:val="p"/>
            </m:rPr>
            <w:rPr>
              <w:rFonts w:ascii="Cambria Math" w:hAnsi="Cambria Math"/>
              <w:sz w:val="24"/>
              <w:szCs w:val="24"/>
            </w:rPr>
            <m:t>=23lg</m:t>
          </m:r>
          <m:r>
            <m:rPr/>
            <w:rPr>
              <w:rFonts w:ascii="Cambria Math" w:hAnsi="Cambria Math"/>
              <w:sz w:val="24"/>
              <w:szCs w:val="24"/>
            </w:rPr>
            <m:t>m</m:t>
          </m:r>
          <m:r>
            <m:rPr>
              <m:sty m:val="p"/>
            </m:rPr>
            <w:rPr>
              <w:rFonts w:ascii="Cambria Math" w:hAnsi="Cambria Math"/>
              <w:sz w:val="24"/>
              <w:szCs w:val="24"/>
            </w:rPr>
            <m:t>+11lg</m:t>
          </m:r>
          <m:r>
            <m:rPr/>
            <w:rPr>
              <w:rFonts w:hint="eastAsia" w:ascii="Cambria Math" w:hAnsi="Cambria Math"/>
              <w:sz w:val="24"/>
              <w:szCs w:val="24"/>
            </w:rPr>
            <m:t>ƒ</m:t>
          </m:r>
          <m:r>
            <m:rPr>
              <m:sty m:val="p"/>
            </m:rPr>
            <w:rPr>
              <w:rFonts w:ascii="Cambria Math" w:hAnsi="Cambria Math"/>
              <w:sz w:val="24"/>
              <w:szCs w:val="24"/>
            </w:rPr>
            <m:t>−41         (</m:t>
          </m:r>
          <m:r>
            <m:rPr/>
            <w:rPr>
              <w:rFonts w:ascii="Cambria Math" w:hAnsi="Cambria Math"/>
              <w:sz w:val="24"/>
              <w:szCs w:val="24"/>
            </w:rPr>
            <m:t>m</m:t>
          </m:r>
          <m:r>
            <m:rPr>
              <m:sty m:val="p"/>
            </m:rPr>
            <w:rPr>
              <w:rFonts w:ascii="Cambria Math" w:hAnsi="Cambria Math"/>
              <w:sz w:val="24"/>
              <w:szCs w:val="24"/>
            </w:rPr>
            <m:t>≥200</m:t>
          </m:r>
          <m:r>
            <m:rPr/>
            <w:rPr>
              <w:rFonts w:ascii="Cambria Math" w:hAnsi="Cambria Math"/>
              <w:sz w:val="24"/>
              <w:szCs w:val="24"/>
            </w:rPr>
            <m:t>kg/</m:t>
          </m:r>
          <m:sSup>
            <m:sSupPr>
              <m:ctrlPr>
                <w:rPr>
                  <w:rFonts w:ascii="Cambria Math" w:hAnsi="Cambria Math"/>
                  <w:i/>
                  <w:kern w:val="2"/>
                </w:rPr>
              </m:ctrlPr>
            </m:sSupPr>
            <m:e>
              <m:r>
                <m:rPr/>
                <w:rPr>
                  <w:rFonts w:ascii="Cambria Math" w:hAnsi="Cambria Math"/>
                  <w:kern w:val="2"/>
                  <w:lang w:val="en-US"/>
                </w:rPr>
                <m:t>m</m:t>
              </m:r>
              <m:ctrlPr>
                <w:rPr>
                  <w:rFonts w:ascii="Cambria Math" w:hAnsi="Cambria Math"/>
                  <w:i/>
                  <w:kern w:val="2"/>
                </w:rPr>
              </m:ctrlPr>
            </m:e>
            <m:sup>
              <m:r>
                <m:rPr/>
                <w:rPr>
                  <w:rFonts w:ascii="Cambria Math" w:hAnsi="Cambria Math"/>
                  <w:kern w:val="2"/>
                  <w:lang w:val="en-US"/>
                </w:rPr>
                <m:t>2</m:t>
              </m:r>
              <m:ctrlPr>
                <w:rPr>
                  <w:rFonts w:ascii="Cambria Math" w:hAnsi="Cambria Math"/>
                  <w:i/>
                  <w:kern w:val="2"/>
                </w:rPr>
              </m:ctrlPr>
            </m:sup>
          </m:sSup>
          <m:r>
            <m:rPr>
              <m:sty m:val="p"/>
            </m:rPr>
            <w:rPr>
              <w:rFonts w:ascii="Cambria Math" w:hAnsi="Cambria Math"/>
              <w:sz w:val="24"/>
              <w:szCs w:val="24"/>
            </w:rPr>
            <m:t>)</m:t>
          </m:r>
        </m:oMath>
      </m:oMathPara>
    </w:p>
    <w:p>
      <w:pPr>
        <w:pStyle w:val="3"/>
        <w:jc w:val="center"/>
        <w:rPr>
          <w:color w:val="FF0000"/>
        </w:rPr>
      </w:pPr>
      <m:oMathPara>
        <m:oMathParaPr>
          <m:jc m:val="center"/>
        </m:oMathParaPr>
        <m:oMath>
          <m:r>
            <m:rPr/>
            <w:rPr>
              <w:rFonts w:ascii="Cambria Math" w:hAnsi="Cambria Math"/>
              <w:sz w:val="24"/>
              <w:szCs w:val="24"/>
            </w:rPr>
            <m:t>R</m:t>
          </m:r>
          <m:r>
            <m:rPr>
              <m:sty m:val="p"/>
            </m:rPr>
            <w:rPr>
              <w:rFonts w:ascii="Cambria Math" w:hAnsi="Cambria Math"/>
              <w:sz w:val="24"/>
              <w:szCs w:val="24"/>
            </w:rPr>
            <m:t>=13lg</m:t>
          </m:r>
          <m:r>
            <m:rPr/>
            <w:rPr>
              <w:rFonts w:ascii="Cambria Math" w:hAnsi="Cambria Math"/>
              <w:sz w:val="24"/>
              <w:szCs w:val="24"/>
            </w:rPr>
            <m:t>m</m:t>
          </m:r>
          <m:r>
            <m:rPr>
              <m:sty m:val="p"/>
            </m:rPr>
            <w:rPr>
              <w:rFonts w:ascii="Cambria Math" w:hAnsi="Cambria Math"/>
              <w:sz w:val="24"/>
              <w:szCs w:val="24"/>
            </w:rPr>
            <m:t>+11lg</m:t>
          </m:r>
          <m:r>
            <m:rPr/>
            <w:rPr>
              <w:rFonts w:hint="eastAsia" w:ascii="Cambria Math" w:hAnsi="Cambria Math"/>
              <w:sz w:val="24"/>
              <w:szCs w:val="24"/>
            </w:rPr>
            <m:t>ƒ</m:t>
          </m:r>
          <m:r>
            <m:rPr/>
            <w:rPr>
              <w:rFonts w:ascii="Cambria Math" w:hAnsi="Cambria Math"/>
              <w:sz w:val="24"/>
              <w:szCs w:val="24"/>
            </w:rPr>
            <m:t>−18</m:t>
          </m:r>
          <m:r>
            <m:rPr>
              <m:sty m:val="p"/>
            </m:rPr>
            <w:rPr>
              <w:rFonts w:ascii="Cambria Math" w:hAnsi="Cambria Math"/>
              <w:sz w:val="24"/>
              <w:szCs w:val="24"/>
            </w:rPr>
            <m:t xml:space="preserve">         (</m:t>
          </m:r>
          <m:r>
            <m:rPr/>
            <w:rPr>
              <w:rFonts w:ascii="Cambria Math" w:hAnsi="Cambria Math"/>
              <w:sz w:val="24"/>
              <w:szCs w:val="24"/>
            </w:rPr>
            <m:t>m</m:t>
          </m:r>
          <m:r>
            <m:rPr>
              <m:sty m:val="p"/>
            </m:rPr>
            <w:rPr>
              <w:rFonts w:ascii="Cambria Math" w:hAnsi="Cambria Math"/>
              <w:sz w:val="24"/>
              <w:szCs w:val="24"/>
            </w:rPr>
            <m:t>≤200</m:t>
          </m:r>
          <m:r>
            <m:rPr/>
            <w:rPr>
              <w:rFonts w:ascii="Cambria Math" w:hAnsi="Cambria Math"/>
              <w:sz w:val="24"/>
              <w:szCs w:val="24"/>
            </w:rPr>
            <m:t>kg/</m:t>
          </m:r>
          <m:sSup>
            <m:sSupPr>
              <m:ctrlPr>
                <w:rPr>
                  <w:rFonts w:ascii="Cambria Math" w:hAnsi="Cambria Math"/>
                  <w:i/>
                  <w:kern w:val="2"/>
                </w:rPr>
              </m:ctrlPr>
            </m:sSupPr>
            <m:e>
              <m:r>
                <m:rPr/>
                <w:rPr>
                  <w:rFonts w:ascii="Cambria Math" w:hAnsi="Cambria Math"/>
                  <w:kern w:val="2"/>
                  <w:lang w:val="en-US"/>
                </w:rPr>
                <m:t>m</m:t>
              </m:r>
              <m:ctrlPr>
                <w:rPr>
                  <w:rFonts w:ascii="Cambria Math" w:hAnsi="Cambria Math"/>
                  <w:i/>
                  <w:kern w:val="2"/>
                </w:rPr>
              </m:ctrlPr>
            </m:e>
            <m:sup>
              <m:r>
                <m:rPr/>
                <w:rPr>
                  <w:rFonts w:ascii="Cambria Math" w:hAnsi="Cambria Math"/>
                  <w:kern w:val="2"/>
                  <w:lang w:val="en-US"/>
                </w:rPr>
                <m:t>2</m:t>
              </m:r>
              <m:ctrlPr>
                <w:rPr>
                  <w:rFonts w:ascii="Cambria Math" w:hAnsi="Cambria Math"/>
                  <w:i/>
                  <w:kern w:val="2"/>
                </w:rPr>
              </m:ctrlPr>
            </m:sup>
          </m:sSup>
          <m:r>
            <m:rPr>
              <m:sty m:val="p"/>
            </m:rPr>
            <w:rPr>
              <w:rFonts w:ascii="Cambria Math" w:hAnsi="Cambria Math"/>
              <w:sz w:val="24"/>
              <w:szCs w:val="24"/>
            </w:rPr>
            <m:t>)</m:t>
          </m:r>
        </m:oMath>
      </m:oMathPara>
    </w:p>
    <w:p>
      <w:pPr>
        <w:pStyle w:val="3"/>
        <w:ind w:firstLine="420" w:firstLineChars="200"/>
      </w:pPr>
      <w:r>
        <w:rPr>
          <w:rFonts w:hint="eastAsia"/>
        </w:rPr>
        <w:t>砌体材料、保温层材料、轻钢龙骨材料等轻质材料的空气声隔声和撞击声隔声情况无法通过公式直接进行计算，一般采用与典型构造的现场检测值进行对比的形式来确定。</w:t>
      </w:r>
    </w:p>
    <w:p>
      <w:pPr>
        <w:pStyle w:val="4"/>
      </w:pPr>
      <w:bookmarkStart w:id="32" w:name="_Toc29448"/>
      <w:r>
        <w:rPr>
          <w:rFonts w:hint="eastAsia"/>
        </w:rPr>
        <w:t>单值评价量</w:t>
      </w:r>
      <w:bookmarkEnd w:id="32"/>
    </w:p>
    <w:p>
      <w:pPr>
        <w:pStyle w:val="3"/>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50121-2005提供了单值评价量的计算方法。</w:t>
      </w:r>
    </w:p>
    <w:p>
      <w:pPr>
        <w:pStyle w:val="3"/>
        <w:ind w:firstLine="630" w:firstLineChars="300"/>
      </w:pPr>
      <w:r>
        <w:rPr>
          <w:rFonts w:hint="eastAsia"/>
          <w:b/>
        </w:rPr>
        <w:t>计权隔声量</w:t>
      </w:r>
      <w:r>
        <w:rPr>
          <w:rFonts w:hint="eastAsia"/>
        </w:rPr>
        <w:t>是表征构件</w:t>
      </w:r>
      <w:r>
        <w:rPr>
          <w:rFonts w:hint="eastAsia"/>
          <w:u w:val="single"/>
        </w:rPr>
        <w:t>空气声</w:t>
      </w:r>
      <w:r>
        <w:rPr>
          <w:rFonts w:hint="eastAsia"/>
        </w:rPr>
        <w:t>隔声性能的单值评价量，满足不利偏差Pi要求的最大值即为</w:t>
      </w:r>
      <w:r>
        <w:rPr>
          <w:rFonts w:hint="eastAsia"/>
          <w:kern w:val="2"/>
          <w:lang w:val="en-US"/>
        </w:rPr>
        <w:t>空气声隔声计权单值评价量</w:t>
      </w:r>
      <w:r>
        <w:rPr>
          <w:rFonts w:hint="eastAsia"/>
        </w:rPr>
        <w:t>，精确到1dB。</w:t>
      </w:r>
    </w:p>
    <w:p>
      <w:pPr>
        <w:pStyle w:val="3"/>
        <w:numPr>
          <w:ilvl w:val="0"/>
          <w:numId w:val="6"/>
        </w:numPr>
        <w:rPr>
          <w:kern w:val="2"/>
          <w:szCs w:val="24"/>
          <w:lang w:val="en-US"/>
        </w:rPr>
      </w:pPr>
      <w:r>
        <w:rPr>
          <w:rFonts w:hint="eastAsia"/>
        </w:rPr>
        <w:t>可采用公式法求得：</w:t>
      </w:r>
    </w:p>
    <w:p>
      <w:pPr>
        <w:pStyle w:val="3"/>
        <w:jc w:val="center"/>
        <w:rPr>
          <w:kern w:val="2"/>
          <w:szCs w:val="24"/>
          <w:lang w:val="en-US"/>
        </w:rPr>
      </w:pPr>
      <w:r>
        <w:rPr>
          <w:lang w:val="en-US"/>
        </w:rPr>
        <w:drawing>
          <wp:inline distT="0" distB="0" distL="0" distR="0">
            <wp:extent cx="762635" cy="42418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7"/>
                    <a:stretch>
                      <a:fillRect/>
                    </a:stretch>
                  </pic:blipFill>
                  <pic:spPr>
                    <a:xfrm>
                      <a:off x="0" y="0"/>
                      <a:ext cx="846371" cy="471336"/>
                    </a:xfrm>
                    <a:prstGeom prst="rect">
                      <a:avLst/>
                    </a:prstGeom>
                  </pic:spPr>
                </pic:pic>
              </a:graphicData>
            </a:graphic>
          </wp:inline>
        </w:drawing>
      </w:r>
    </w:p>
    <w:p>
      <w:pPr>
        <w:pStyle w:val="3"/>
        <w:jc w:val="center"/>
        <w:rPr>
          <w:sz w:val="18"/>
          <w:szCs w:val="18"/>
        </w:rPr>
      </w:pPr>
      <w:r>
        <w:rPr>
          <w:lang w:val="en-US"/>
        </w:rPr>
        <w:drawing>
          <wp:inline distT="0" distB="0" distL="0" distR="0">
            <wp:extent cx="2302510"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8"/>
                    <a:stretch>
                      <a:fillRect/>
                    </a:stretch>
                  </pic:blipFill>
                  <pic:spPr>
                    <a:xfrm>
                      <a:off x="0" y="0"/>
                      <a:ext cx="2433443" cy="563680"/>
                    </a:xfrm>
                    <a:prstGeom prst="rect">
                      <a:avLst/>
                    </a:prstGeom>
                  </pic:spPr>
                </pic:pic>
              </a:graphicData>
            </a:graphic>
          </wp:inline>
        </w:drawing>
      </w:r>
    </w:p>
    <w:p>
      <w:pPr>
        <w:ind w:left="360" w:leftChars="200" w:firstLine="400" w:firstLineChars="200"/>
        <w:rPr>
          <w:sz w:val="20"/>
          <w:szCs w:val="21"/>
        </w:rPr>
      </w:pPr>
      <w:r>
        <w:rPr>
          <w:rFonts w:hint="eastAsia"/>
          <w:sz w:val="20"/>
          <w:szCs w:val="21"/>
        </w:rPr>
        <w:t>式中：</w:t>
      </w:r>
      <w:r>
        <w:rPr>
          <w:position w:val="-12"/>
          <w:sz w:val="20"/>
          <w:szCs w:val="21"/>
        </w:rPr>
        <w:object>
          <v:shape id="_x0000_i1027" o:spt="75" type="#_x0000_t75" style="height:15.6pt;width:16.3pt;" o:ole="t" filled="f" o:preferrelative="t" stroked="f" coordsize="21600,21600">
            <v:path/>
            <v:fill on="f" focussize="0,0"/>
            <v:stroke on="f" joinstyle="miter"/>
            <v:imagedata r:id="rId20" o:title=""/>
            <o:lock v:ext="edit" aspectratio="t"/>
            <w10:wrap type="none"/>
            <w10:anchorlock/>
          </v:shape>
          <o:OLEObject Type="Embed" ProgID="Equation.DSMT4" ShapeID="_x0000_i1027" DrawAspect="Content" ObjectID="_1468075727" r:id="rId19">
            <o:LockedField>false</o:LockedField>
          </o:OLEObject>
        </w:object>
      </w:r>
      <w:r>
        <w:rPr>
          <w:rFonts w:hint="eastAsia"/>
          <w:sz w:val="20"/>
          <w:szCs w:val="21"/>
        </w:rPr>
        <w:t>—空气声隔声计权单值评价量；</w:t>
      </w:r>
    </w:p>
    <w:p>
      <w:pPr>
        <w:ind w:left="360" w:leftChars="200" w:firstLine="1000" w:firstLineChars="500"/>
        <w:rPr>
          <w:sz w:val="20"/>
          <w:szCs w:val="21"/>
        </w:rPr>
      </w:pPr>
      <w:r>
        <w:rPr>
          <w:position w:val="-12"/>
          <w:sz w:val="20"/>
          <w:szCs w:val="21"/>
        </w:rPr>
        <w:object>
          <v:shape id="_x0000_i1028" o:spt="75" type="#_x0000_t75" style="height:15.6pt;width:12.9pt;" o:ole="t" filled="f" o:preferrelative="t" stroked="f" coordsize="21600,21600">
            <v:path/>
            <v:fill on="f" focussize="0,0"/>
            <v:stroke on="f" joinstyle="miter"/>
            <v:imagedata r:id="rId22" o:title=""/>
            <o:lock v:ext="edit" aspectratio="t"/>
            <w10:wrap type="none"/>
            <w10:anchorlock/>
          </v:shape>
          <o:OLEObject Type="Embed" ProgID="Equation.DSMT4" ShapeID="_x0000_i1028" DrawAspect="Content" ObjectID="_1468075728" r:id="rId21">
            <o:LockedField>false</o:LockedField>
          </o:OLEObject>
        </w:object>
      </w:r>
      <w:r>
        <w:rPr>
          <w:rFonts w:hint="eastAsia"/>
          <w:sz w:val="20"/>
          <w:szCs w:val="21"/>
        </w:rPr>
        <w:t>—</w:t>
      </w:r>
      <w:r>
        <w:rPr>
          <w:sz w:val="20"/>
          <w:szCs w:val="21"/>
        </w:rPr>
        <w:t>第i个频带的基准值；</w:t>
      </w:r>
    </w:p>
    <w:p>
      <w:pPr>
        <w:ind w:left="360" w:leftChars="200" w:firstLine="1000" w:firstLineChars="500"/>
        <w:rPr>
          <w:sz w:val="20"/>
          <w:szCs w:val="21"/>
        </w:rPr>
      </w:pPr>
      <w:r>
        <w:rPr>
          <w:position w:val="-12"/>
          <w:sz w:val="20"/>
          <w:szCs w:val="21"/>
        </w:rPr>
        <w:object>
          <v:shape id="_x0000_i1029" o:spt="75" type="#_x0000_t75" style="height:14.25pt;width:12.9pt;" o:ole="t" filled="f" o:preferrelative="t" stroked="f" coordsize="21600,21600">
            <v:path/>
            <v:fill on="f" focussize="0,0"/>
            <v:stroke on="f" joinstyle="miter"/>
            <v:imagedata r:id="rId24" o:title=""/>
            <o:lock v:ext="edit" aspectratio="t"/>
            <w10:wrap type="none"/>
            <w10:anchorlock/>
          </v:shape>
          <o:OLEObject Type="Embed" ProgID="Equation.DSMT4" ShapeID="_x0000_i1029" DrawAspect="Content" ObjectID="_1468075729" r:id="rId23">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pPr>
        <w:ind w:left="360" w:leftChars="200" w:firstLine="900" w:firstLineChars="500"/>
        <w:rPr>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5"/>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pPr>
        <w:pStyle w:val="3"/>
        <w:ind w:firstLine="630" w:firstLineChars="300"/>
        <w:jc w:val="right"/>
      </w:pPr>
    </w:p>
    <w:p>
      <w:pPr>
        <w:pStyle w:val="3"/>
        <w:numPr>
          <w:ilvl w:val="0"/>
          <w:numId w:val="6"/>
        </w:numPr>
      </w:pPr>
      <w:r>
        <w:rPr>
          <w:rFonts w:hint="eastAsia"/>
          <w:b/>
        </w:rPr>
        <w:t>计权规范化撞击声压级</w:t>
      </w:r>
      <w:r>
        <w:rPr>
          <w:rFonts w:hint="eastAsia"/>
        </w:rPr>
        <w:t>是表征构件</w:t>
      </w:r>
      <w:r>
        <w:rPr>
          <w:rFonts w:hint="eastAsia"/>
          <w:u w:val="single"/>
        </w:rPr>
        <w:t>撞击声</w:t>
      </w:r>
      <w:r>
        <w:rPr>
          <w:rFonts w:hint="eastAsia"/>
        </w:rPr>
        <w:t>隔声性能的单值评价量，满足不利偏差要求的最小值再减</w:t>
      </w:r>
      <w:r>
        <w:t>5dB即为撞击声隔声计权单值评价量，精确到1dB，</w:t>
      </w:r>
      <w:r>
        <w:rPr>
          <w:rFonts w:hint="eastAsia"/>
        </w:rPr>
        <w:t>可采用公式法求得：</w:t>
      </w:r>
    </w:p>
    <w:p>
      <w:pPr>
        <w:pStyle w:val="3"/>
        <w:jc w:val="center"/>
      </w:pPr>
      <w:r>
        <w:rPr>
          <w:lang w:val="en-US"/>
        </w:rPr>
        <w:drawing>
          <wp:inline distT="0" distB="0" distL="0" distR="0">
            <wp:extent cx="2839720"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6"/>
                    <a:stretch>
                      <a:fillRect/>
                    </a:stretch>
                  </pic:blipFill>
                  <pic:spPr>
                    <a:xfrm>
                      <a:off x="0" y="0"/>
                      <a:ext cx="2977876" cy="689095"/>
                    </a:xfrm>
                    <a:prstGeom prst="rect">
                      <a:avLst/>
                    </a:prstGeom>
                  </pic:spPr>
                </pic:pic>
              </a:graphicData>
            </a:graphic>
          </wp:inline>
        </w:drawing>
      </w:r>
    </w:p>
    <w:p>
      <w:pPr>
        <w:pStyle w:val="3"/>
        <w:ind w:left="900" w:leftChars="500"/>
        <w:rPr>
          <w:kern w:val="2"/>
          <w:sz w:val="20"/>
          <w:lang w:val="en-US"/>
        </w:rPr>
      </w:pPr>
      <w:r>
        <w:rPr>
          <w:rFonts w:hint="eastAsia"/>
          <w:kern w:val="2"/>
          <w:sz w:val="20"/>
          <w:lang w:val="en-US"/>
        </w:rPr>
        <w:t>式中：</w:t>
      </w:r>
      <w:r>
        <w:rPr>
          <w:position w:val="-12"/>
          <w:sz w:val="20"/>
        </w:rPr>
        <w:object>
          <v:shape id="_x0000_i1030" o:spt="75" type="#_x0000_t75" style="height:16.3pt;width:18.35pt;" o:ole="t" filled="f" o:preferrelative="t" stroked="f" coordsize="21600,21600">
            <v:path/>
            <v:fill on="f" focussize="0,0"/>
            <v:stroke on="f" joinstyle="miter"/>
            <v:imagedata r:id="rId20" o:title=""/>
            <o:lock v:ext="edit" aspectratio="t"/>
            <w10:wrap type="none"/>
            <w10:anchorlock/>
          </v:shape>
          <o:OLEObject Type="Embed" ProgID="Equation.DSMT4" ShapeID="_x0000_i1030" DrawAspect="Content" ObjectID="_1468075730" r:id="rId27">
            <o:LockedField>false</o:LockedField>
          </o:OLEObject>
        </w:object>
      </w:r>
      <w:r>
        <w:rPr>
          <w:rFonts w:hint="eastAsia"/>
          <w:sz w:val="20"/>
        </w:rPr>
        <w:t>—</w:t>
      </w:r>
      <w:r>
        <w:rPr>
          <w:rFonts w:hint="eastAsia"/>
          <w:kern w:val="2"/>
          <w:sz w:val="20"/>
          <w:lang w:val="en-US"/>
        </w:rPr>
        <w:t>撞击声隔声计权单值评价量；</w:t>
      </w:r>
    </w:p>
    <w:p>
      <w:pPr>
        <w:pStyle w:val="3"/>
        <w:ind w:left="900" w:leftChars="500" w:firstLine="600" w:firstLineChars="300"/>
        <w:rPr>
          <w:kern w:val="2"/>
          <w:sz w:val="20"/>
          <w:lang w:val="en-US"/>
        </w:rPr>
      </w:pPr>
      <w:r>
        <w:rPr>
          <w:position w:val="-12"/>
          <w:sz w:val="20"/>
        </w:rPr>
        <w:object>
          <v:shape id="_x0000_i1031" o:spt="75" type="#_x0000_t75" style="height:15.6pt;width:12.9pt;" o:ole="t" filled="f" o:preferrelative="t" stroked="f" coordsize="21600,21600">
            <v:path/>
            <v:fill on="f" focussize="0,0"/>
            <v:stroke on="f" joinstyle="miter"/>
            <v:imagedata r:id="rId24" o:title=""/>
            <o:lock v:ext="edit" aspectratio="t"/>
            <w10:wrap type="none"/>
            <w10:anchorlock/>
          </v:shape>
          <o:OLEObject Type="Embed" ProgID="Equation.DSMT4" ShapeID="_x0000_i1031" DrawAspect="Content" ObjectID="_1468075731" r:id="rId28">
            <o:LockedField>false</o:LockedField>
          </o:OLEObject>
        </w:object>
      </w:r>
      <w:r>
        <w:rPr>
          <w:rFonts w:hint="eastAsia"/>
          <w:sz w:val="20"/>
        </w:rPr>
        <w:t xml:space="preserve">— </w:t>
      </w:r>
      <w:r>
        <w:rPr>
          <w:rFonts w:hint="eastAsia"/>
          <w:kern w:val="2"/>
          <w:sz w:val="20"/>
          <w:lang w:val="en-US"/>
        </w:rPr>
        <w:t>第i个频带的撞击声压级，精确到0.1dB；</w:t>
      </w:r>
    </w:p>
    <w:p>
      <w:pPr>
        <w:jc w:val="right"/>
        <w:rPr>
          <w:lang w:val="en-US"/>
        </w:rPr>
      </w:pPr>
      <w:r>
        <w:rPr>
          <w:rFonts w:hint="eastAsia"/>
          <w:lang w:val="en-US"/>
        </w:rPr>
        <w:t>表</w:t>
      </w:r>
      <w:r>
        <w:rPr>
          <w:lang w:val="en-US"/>
        </w:rPr>
        <w:t xml:space="preserve">4.1 </w:t>
      </w:r>
      <w:r>
        <w:rPr>
          <w:rFonts w:hint="eastAsia"/>
          <w:lang w:val="en-US"/>
        </w:rPr>
        <w:t>各频带基准值Ki</w:t>
      </w:r>
      <w:r>
        <w:rPr>
          <w:lang w:val="en-US"/>
        </w:rPr>
        <w:t xml:space="preserve">                                     </w:t>
      </w:r>
      <w:r>
        <w:rPr>
          <w:rFonts w:hint="eastAsia"/>
          <w:lang w:val="en-US"/>
        </w:rPr>
        <w:t>单位：</w:t>
      </w:r>
      <w:r>
        <w:rPr>
          <w:lang w:val="en-US"/>
        </w:rPr>
        <w:t>dB</w:t>
      </w:r>
    </w:p>
    <w:tbl>
      <w:tblPr>
        <w:tblStyle w:val="22"/>
        <w:tblW w:w="93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倍频程频率</w:t>
            </w:r>
          </w:p>
        </w:tc>
        <w:tc>
          <w:tcPr>
            <w:tcW w:w="1416" w:type="dxa"/>
            <w:shd w:val="clear" w:color="auto" w:fill="D9D9D9"/>
            <w:vAlign w:val="center"/>
          </w:tcPr>
          <w:p>
            <w:pPr>
              <w:spacing w:line="360" w:lineRule="exact"/>
              <w:jc w:val="center"/>
            </w:pPr>
            <w:r>
              <w:rPr>
                <w:rFonts w:hint="eastAsia"/>
              </w:rPr>
              <w:t>125</w:t>
            </w:r>
            <w:r>
              <w:t>Hz</w:t>
            </w:r>
          </w:p>
        </w:tc>
        <w:tc>
          <w:tcPr>
            <w:tcW w:w="1416" w:type="dxa"/>
            <w:shd w:val="clear" w:color="auto" w:fill="D9D9D9"/>
            <w:vAlign w:val="center"/>
          </w:tcPr>
          <w:p>
            <w:pPr>
              <w:spacing w:line="360" w:lineRule="exact"/>
              <w:jc w:val="center"/>
            </w:pPr>
            <w:r>
              <w:rPr>
                <w:rFonts w:hint="eastAsia"/>
              </w:rPr>
              <w:t>250</w:t>
            </w:r>
            <w:r>
              <w:t xml:space="preserve"> Hz</w:t>
            </w:r>
          </w:p>
        </w:tc>
        <w:tc>
          <w:tcPr>
            <w:tcW w:w="1416" w:type="dxa"/>
            <w:shd w:val="clear" w:color="auto" w:fill="D9D9D9"/>
            <w:vAlign w:val="center"/>
          </w:tcPr>
          <w:p>
            <w:pPr>
              <w:spacing w:line="360" w:lineRule="exact"/>
              <w:jc w:val="center"/>
            </w:pPr>
            <w:r>
              <w:rPr>
                <w:rFonts w:hint="eastAsia"/>
              </w:rPr>
              <w:t>500</w:t>
            </w:r>
            <w:r>
              <w:t xml:space="preserve"> Hz</w:t>
            </w:r>
          </w:p>
        </w:tc>
        <w:tc>
          <w:tcPr>
            <w:tcW w:w="1416" w:type="dxa"/>
            <w:shd w:val="clear" w:color="auto" w:fill="D9D9D9"/>
            <w:vAlign w:val="center"/>
          </w:tcPr>
          <w:p>
            <w:pPr>
              <w:spacing w:line="360" w:lineRule="exact"/>
              <w:jc w:val="center"/>
            </w:pPr>
            <w:r>
              <w:rPr>
                <w:rFonts w:hint="eastAsia"/>
              </w:rPr>
              <w:t>1000</w:t>
            </w:r>
            <w:r>
              <w:t xml:space="preserve"> Hz</w:t>
            </w:r>
          </w:p>
        </w:tc>
        <w:tc>
          <w:tcPr>
            <w:tcW w:w="1418" w:type="dxa"/>
            <w:shd w:val="clear" w:color="auto" w:fill="D9D9D9"/>
            <w:vAlign w:val="center"/>
          </w:tcPr>
          <w:p>
            <w:pPr>
              <w:spacing w:line="360" w:lineRule="exact"/>
              <w:jc w:val="center"/>
            </w:pPr>
            <w:r>
              <w:rPr>
                <w:rFonts w:hint="eastAsia"/>
              </w:rPr>
              <w:t>2000</w:t>
            </w:r>
            <w:r>
              <w:t xml:space="preserve"> Hz</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空气声基准值</w:t>
            </w:r>
          </w:p>
        </w:tc>
        <w:tc>
          <w:tcPr>
            <w:tcW w:w="1416" w:type="dxa"/>
            <w:vAlign w:val="center"/>
          </w:tcPr>
          <w:p>
            <w:pPr>
              <w:spacing w:line="360" w:lineRule="exact"/>
              <w:jc w:val="center"/>
            </w:pPr>
            <w:r>
              <w:rPr>
                <w:rFonts w:hint="eastAsia"/>
              </w:rPr>
              <w:t>-16</w:t>
            </w:r>
          </w:p>
        </w:tc>
        <w:tc>
          <w:tcPr>
            <w:tcW w:w="1416" w:type="dxa"/>
            <w:vAlign w:val="center"/>
          </w:tcPr>
          <w:p>
            <w:pPr>
              <w:spacing w:line="360" w:lineRule="exact"/>
              <w:jc w:val="center"/>
            </w:pPr>
            <w:r>
              <w:rPr>
                <w:rFonts w:hint="eastAsia"/>
              </w:rPr>
              <w:t>-7</w:t>
            </w:r>
          </w:p>
        </w:tc>
        <w:tc>
          <w:tcPr>
            <w:tcW w:w="1416" w:type="dxa"/>
            <w:vAlign w:val="center"/>
          </w:tcPr>
          <w:p>
            <w:pPr>
              <w:spacing w:line="360" w:lineRule="exact"/>
              <w:jc w:val="center"/>
            </w:pPr>
            <w:r>
              <w:rPr>
                <w:rFonts w:hint="eastAsia"/>
              </w:rPr>
              <w:t>0</w:t>
            </w:r>
          </w:p>
        </w:tc>
        <w:tc>
          <w:tcPr>
            <w:tcW w:w="1416" w:type="dxa"/>
            <w:vAlign w:val="center"/>
          </w:tcPr>
          <w:p>
            <w:pPr>
              <w:spacing w:line="360" w:lineRule="exact"/>
              <w:jc w:val="center"/>
            </w:pPr>
            <w:r>
              <w:rPr>
                <w:rFonts w:hint="eastAsia"/>
              </w:rPr>
              <w:t>3</w:t>
            </w:r>
          </w:p>
        </w:tc>
        <w:tc>
          <w:tcPr>
            <w:tcW w:w="1418" w:type="dxa"/>
            <w:vAlign w:val="center"/>
          </w:tcPr>
          <w:p>
            <w:pPr>
              <w:spacing w:line="360" w:lineRule="exact"/>
              <w:jc w:val="center"/>
            </w:pPr>
            <w:r>
              <w:rPr>
                <w:rFonts w:hint="eastAsia"/>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撞击声基准值</w:t>
            </w:r>
          </w:p>
        </w:tc>
        <w:tc>
          <w:tcPr>
            <w:tcW w:w="1416" w:type="dxa"/>
            <w:vAlign w:val="center"/>
          </w:tcPr>
          <w:p>
            <w:pPr>
              <w:spacing w:line="360" w:lineRule="exact"/>
              <w:jc w:val="center"/>
            </w:pPr>
            <w:r>
              <w:rPr>
                <w:rFonts w:hint="eastAsia"/>
                <w:lang w:val="en-US"/>
              </w:rPr>
              <w:t>2</w:t>
            </w:r>
          </w:p>
        </w:tc>
        <w:tc>
          <w:tcPr>
            <w:tcW w:w="1416" w:type="dxa"/>
            <w:vAlign w:val="center"/>
          </w:tcPr>
          <w:p>
            <w:pPr>
              <w:spacing w:line="360" w:lineRule="exact"/>
              <w:jc w:val="center"/>
            </w:pPr>
            <w:r>
              <w:rPr>
                <w:rFonts w:hint="eastAsia"/>
                <w:lang w:val="en-US"/>
              </w:rPr>
              <w:t>2</w:t>
            </w:r>
          </w:p>
        </w:tc>
        <w:tc>
          <w:tcPr>
            <w:tcW w:w="1416" w:type="dxa"/>
            <w:vAlign w:val="center"/>
          </w:tcPr>
          <w:p>
            <w:pPr>
              <w:spacing w:line="360" w:lineRule="exact"/>
              <w:jc w:val="center"/>
            </w:pPr>
            <w:r>
              <w:rPr>
                <w:rFonts w:hint="eastAsia"/>
                <w:lang w:val="en-US"/>
              </w:rPr>
              <w:t>0</w:t>
            </w:r>
          </w:p>
        </w:tc>
        <w:tc>
          <w:tcPr>
            <w:tcW w:w="1416" w:type="dxa"/>
            <w:vAlign w:val="center"/>
          </w:tcPr>
          <w:p>
            <w:pPr>
              <w:spacing w:line="360" w:lineRule="exact"/>
              <w:jc w:val="center"/>
            </w:pPr>
            <w:r>
              <w:rPr>
                <w:rFonts w:hint="eastAsia"/>
                <w:lang w:val="en-US"/>
              </w:rPr>
              <w:t>-3</w:t>
            </w:r>
          </w:p>
        </w:tc>
        <w:tc>
          <w:tcPr>
            <w:tcW w:w="1418" w:type="dxa"/>
            <w:vAlign w:val="center"/>
          </w:tcPr>
          <w:p>
            <w:pPr>
              <w:spacing w:line="360" w:lineRule="exact"/>
              <w:jc w:val="center"/>
            </w:pPr>
            <w:r>
              <w:rPr>
                <w:rFonts w:hint="eastAsia"/>
                <w:lang w:val="en-US"/>
              </w:rPr>
              <w:t>-16</w:t>
            </w:r>
          </w:p>
        </w:tc>
      </w:tr>
    </w:tbl>
    <w:p>
      <w:pPr>
        <w:pStyle w:val="4"/>
      </w:pPr>
      <w:bookmarkStart w:id="33" w:name="_Toc28938"/>
      <w:r>
        <w:rPr>
          <w:rFonts w:hint="eastAsia"/>
        </w:rPr>
        <w:t>频谱修正量</w:t>
      </w:r>
      <w:bookmarkEnd w:id="33"/>
    </w:p>
    <w:p>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pPr>
        <w:pStyle w:val="3"/>
        <w:ind w:firstLine="420" w:firstLineChars="200"/>
        <w:rPr>
          <w:lang w:val="en-US"/>
        </w:rPr>
      </w:pPr>
      <w:r>
        <w:rPr>
          <w:rFonts w:hint="eastAsia"/>
        </w:rPr>
        <w:t>《建筑隔声评价标准》</w:t>
      </w:r>
      <w:r>
        <w:t>GB/T50121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pPr>
        <w:pStyle w:val="3"/>
        <w:jc w:val="center"/>
      </w:pPr>
      <w:r>
        <w:rPr>
          <w:lang w:val="en-US"/>
        </w:rPr>
        <w:drawing>
          <wp:inline distT="0" distB="0" distL="0" distR="0">
            <wp:extent cx="1964055" cy="27178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29"/>
                    <a:stretch>
                      <a:fillRect/>
                    </a:stretch>
                  </pic:blipFill>
                  <pic:spPr>
                    <a:xfrm>
                      <a:off x="0" y="0"/>
                      <a:ext cx="2104989" cy="291685"/>
                    </a:xfrm>
                    <a:prstGeom prst="rect">
                      <a:avLst/>
                    </a:prstGeom>
                  </pic:spPr>
                </pic:pic>
              </a:graphicData>
            </a:graphic>
          </wp:inline>
        </w:drawing>
      </w:r>
    </w:p>
    <w:p>
      <w:pPr>
        <w:pStyle w:val="3"/>
        <w:ind w:left="900" w:leftChars="500"/>
        <w:jc w:val="left"/>
        <w:rPr>
          <w:sz w:val="20"/>
          <w:szCs w:val="20"/>
          <w:lang w:val="en-US"/>
        </w:rPr>
      </w:pPr>
      <w:r>
        <w:rPr>
          <w:rFonts w:hint="eastAsia"/>
          <w:sz w:val="20"/>
          <w:szCs w:val="20"/>
        </w:rPr>
        <w:t>式</w:t>
      </w:r>
      <w:r>
        <w:rPr>
          <w:rFonts w:hint="eastAsia"/>
          <w:sz w:val="20"/>
          <w:szCs w:val="20"/>
          <w:lang w:val="en-US"/>
        </w:rPr>
        <w:t>中：</w:t>
      </w:r>
      <w:r>
        <w:rPr>
          <w:i/>
          <w:sz w:val="20"/>
          <w:szCs w:val="20"/>
          <w:lang w:val="en-US"/>
        </w:rPr>
        <w:t>j</w:t>
      </w:r>
      <w:r>
        <w:rPr>
          <w:sz w:val="20"/>
          <w:szCs w:val="20"/>
          <w:lang w:val="en-US"/>
        </w:rPr>
        <w:t xml:space="preserve"> </w:t>
      </w:r>
      <w:r>
        <w:rPr>
          <w:rFonts w:hint="eastAsia"/>
          <w:sz w:val="20"/>
          <w:szCs w:val="20"/>
          <w:lang w:val="en-US"/>
        </w:rPr>
        <w:t>—</w:t>
      </w:r>
      <w:r>
        <w:rPr>
          <w:sz w:val="20"/>
          <w:szCs w:val="20"/>
          <w:lang w:val="en-US"/>
        </w:rPr>
        <w:t xml:space="preserve"> </w:t>
      </w:r>
      <w:r>
        <w:rPr>
          <w:rFonts w:hint="eastAsia"/>
          <w:sz w:val="20"/>
          <w:szCs w:val="20"/>
          <w:lang w:val="en-US"/>
        </w:rPr>
        <w:t>频谱序号，</w:t>
      </w:r>
      <w:r>
        <w:rPr>
          <w:sz w:val="20"/>
          <w:szCs w:val="20"/>
          <w:lang w:val="en-US"/>
        </w:rPr>
        <w:t>j=1</w:t>
      </w:r>
      <w:r>
        <w:rPr>
          <w:rFonts w:hint="eastAsia"/>
          <w:sz w:val="20"/>
          <w:szCs w:val="20"/>
          <w:lang w:val="en-US"/>
        </w:rPr>
        <w:t>或</w:t>
      </w:r>
      <w:r>
        <w:rPr>
          <w:sz w:val="20"/>
          <w:szCs w:val="20"/>
          <w:lang w:val="en-US"/>
        </w:rPr>
        <w:t>2</w:t>
      </w:r>
      <w:r>
        <w:rPr>
          <w:rFonts w:hint="eastAsia"/>
          <w:sz w:val="20"/>
          <w:szCs w:val="20"/>
          <w:lang w:val="en-US"/>
        </w:rPr>
        <w:t>，</w:t>
      </w:r>
      <w:r>
        <w:rPr>
          <w:sz w:val="20"/>
          <w:szCs w:val="20"/>
          <w:lang w:val="en-US"/>
        </w:rPr>
        <w:t>1</w:t>
      </w:r>
      <w:r>
        <w:rPr>
          <w:rFonts w:hint="eastAsia"/>
          <w:sz w:val="20"/>
          <w:szCs w:val="20"/>
          <w:lang w:val="en-US"/>
        </w:rPr>
        <w:t>为计算</w:t>
      </w:r>
      <w:r>
        <w:rPr>
          <w:sz w:val="20"/>
          <w:szCs w:val="20"/>
          <w:lang w:val="en-US"/>
        </w:rPr>
        <w:t>C</w:t>
      </w:r>
      <w:r>
        <w:rPr>
          <w:rFonts w:hint="eastAsia"/>
          <w:sz w:val="20"/>
          <w:szCs w:val="20"/>
          <w:lang w:val="en-US"/>
        </w:rPr>
        <w:t>的频谱</w:t>
      </w:r>
      <w:r>
        <w:rPr>
          <w:sz w:val="20"/>
          <w:szCs w:val="20"/>
          <w:lang w:val="en-US"/>
        </w:rPr>
        <w:t>1</w:t>
      </w:r>
      <w:r>
        <w:rPr>
          <w:rFonts w:hint="eastAsia"/>
          <w:sz w:val="20"/>
          <w:szCs w:val="20"/>
          <w:lang w:val="en-US"/>
        </w:rPr>
        <w:t>，</w:t>
      </w:r>
      <w:r>
        <w:rPr>
          <w:sz w:val="20"/>
          <w:szCs w:val="20"/>
          <w:lang w:val="en-US"/>
        </w:rPr>
        <w:t>2</w:t>
      </w:r>
      <w:r>
        <w:rPr>
          <w:rFonts w:hint="eastAsia"/>
          <w:sz w:val="20"/>
          <w:szCs w:val="20"/>
          <w:lang w:val="en-US"/>
        </w:rPr>
        <w:t>为计算</w:t>
      </w:r>
      <w:r>
        <w:rPr>
          <w:sz w:val="20"/>
          <w:szCs w:val="20"/>
          <w:lang w:val="en-US"/>
        </w:rPr>
        <w:t>Ctr</w:t>
      </w:r>
      <w:r>
        <w:rPr>
          <w:rFonts w:hint="eastAsia"/>
          <w:sz w:val="20"/>
          <w:szCs w:val="20"/>
          <w:lang w:val="en-US"/>
        </w:rPr>
        <w:t>的频谱</w:t>
      </w:r>
      <w:r>
        <w:rPr>
          <w:sz w:val="20"/>
          <w:szCs w:val="20"/>
          <w:lang w:val="en-US"/>
        </w:rPr>
        <w:t>2</w:t>
      </w:r>
      <w:r>
        <w:rPr>
          <w:rFonts w:hint="eastAsia"/>
          <w:sz w:val="20"/>
          <w:szCs w:val="20"/>
          <w:lang w:val="en-US"/>
        </w:rPr>
        <w:t>；</w:t>
      </w:r>
    </w:p>
    <w:p>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pPr>
        <w:pStyle w:val="3"/>
        <w:ind w:left="1440" w:leftChars="800"/>
        <w:jc w:val="left"/>
        <w:rPr>
          <w:sz w:val="20"/>
          <w:szCs w:val="20"/>
          <w:lang w:val="en-US"/>
        </w:rPr>
      </w:pPr>
      <w:r>
        <w:rPr>
          <w:rFonts w:hint="eastAsia"/>
          <w:i/>
          <w:sz w:val="20"/>
          <w:szCs w:val="20"/>
          <w:lang w:val="en-US"/>
        </w:rPr>
        <w:t>i</w:t>
      </w:r>
      <w:r>
        <w:rPr>
          <w:i/>
          <w:sz w:val="20"/>
          <w:szCs w:val="20"/>
          <w:lang w:val="en-US"/>
        </w:rPr>
        <w:t xml:space="preserve"> </w:t>
      </w:r>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pPr>
        <w:pStyle w:val="3"/>
        <w:ind w:left="1440" w:leftChars="800"/>
        <w:jc w:val="left"/>
        <w:rPr>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cs="宋体"/>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pPr>
        <w:pStyle w:val="3"/>
        <w:ind w:firstLine="420" w:firstLineChars="200"/>
        <w:rPr>
          <w:lang w:val="en-US"/>
        </w:rPr>
      </w:pPr>
      <w:r>
        <w:rPr>
          <w:rFonts w:hint="eastAsia"/>
          <w:lang w:val="en-US"/>
        </w:rPr>
        <w:t>频谱修正量在计算时应精确到0.1dB，得出的结果应修约为整数。</w:t>
      </w:r>
    </w:p>
    <w:p>
      <w:pPr>
        <w:jc w:val="right"/>
        <w:rPr>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pPr>
              <w:pStyle w:val="3"/>
              <w:spacing w:line="360" w:lineRule="exact"/>
              <w:jc w:val="center"/>
              <w:rPr>
                <w:sz w:val="18"/>
                <w:szCs w:val="18"/>
                <w:lang w:val="en-US"/>
              </w:rPr>
            </w:pPr>
            <w:r>
              <w:rPr>
                <w:color w:val="000000"/>
                <w:sz w:val="18"/>
                <w:szCs w:val="18"/>
              </w:rPr>
              <w:t>频率</w:t>
            </w:r>
          </w:p>
        </w:tc>
        <w:tc>
          <w:tcPr>
            <w:tcW w:w="1227" w:type="dxa"/>
            <w:shd w:val="clear" w:color="auto" w:fill="D9D9D9"/>
            <w:vAlign w:val="center"/>
          </w:tcPr>
          <w:p>
            <w:pPr>
              <w:pStyle w:val="3"/>
              <w:spacing w:line="360" w:lineRule="exact"/>
              <w:jc w:val="center"/>
              <w:rPr>
                <w:sz w:val="18"/>
                <w:szCs w:val="18"/>
                <w:lang w:val="en-US"/>
              </w:rPr>
            </w:pPr>
            <w:r>
              <w:rPr>
                <w:color w:val="000000"/>
                <w:sz w:val="18"/>
                <w:szCs w:val="18"/>
              </w:rPr>
              <w:t>125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250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500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1000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2000 Hz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pStyle w:val="3"/>
              <w:spacing w:line="360" w:lineRule="exact"/>
              <w:jc w:val="center"/>
              <w:rPr>
                <w:color w:val="000000"/>
                <w:sz w:val="18"/>
                <w:szCs w:val="18"/>
              </w:rPr>
            </w:pPr>
            <w:r>
              <w:rPr>
                <w:color w:val="000000"/>
                <w:sz w:val="18"/>
                <w:szCs w:val="18"/>
              </w:rPr>
              <w:t>计算</w:t>
            </w:r>
            <w:r>
              <w:rPr>
                <w:kern w:val="2"/>
                <w:sz w:val="18"/>
                <w:szCs w:val="18"/>
                <w:lang w:val="en-US"/>
              </w:rPr>
              <w:t>粉红噪声</w:t>
            </w:r>
            <w:r>
              <w:rPr>
                <w:color w:val="000000"/>
                <w:sz w:val="18"/>
                <w:szCs w:val="18"/>
              </w:rPr>
              <w:t>C的频谱1</w:t>
            </w:r>
          </w:p>
        </w:tc>
        <w:tc>
          <w:tcPr>
            <w:tcW w:w="1227" w:type="dxa"/>
            <w:vAlign w:val="center"/>
          </w:tcPr>
          <w:p>
            <w:pPr>
              <w:pStyle w:val="3"/>
              <w:spacing w:line="360" w:lineRule="exact"/>
              <w:jc w:val="center"/>
              <w:rPr>
                <w:color w:val="000000"/>
                <w:sz w:val="18"/>
                <w:szCs w:val="18"/>
              </w:rPr>
            </w:pPr>
            <w:r>
              <w:rPr>
                <w:color w:val="000000"/>
                <w:sz w:val="18"/>
                <w:szCs w:val="18"/>
              </w:rPr>
              <w:t>-21</w:t>
            </w:r>
          </w:p>
        </w:tc>
        <w:tc>
          <w:tcPr>
            <w:tcW w:w="1228" w:type="dxa"/>
            <w:vAlign w:val="center"/>
          </w:tcPr>
          <w:p>
            <w:pPr>
              <w:pStyle w:val="3"/>
              <w:spacing w:line="360" w:lineRule="exact"/>
              <w:jc w:val="center"/>
              <w:rPr>
                <w:color w:val="000000"/>
                <w:sz w:val="18"/>
                <w:szCs w:val="18"/>
              </w:rPr>
            </w:pPr>
            <w:r>
              <w:rPr>
                <w:color w:val="000000"/>
                <w:sz w:val="18"/>
                <w:szCs w:val="18"/>
              </w:rPr>
              <w:t>-14</w:t>
            </w:r>
          </w:p>
        </w:tc>
        <w:tc>
          <w:tcPr>
            <w:tcW w:w="1228" w:type="dxa"/>
            <w:vAlign w:val="center"/>
          </w:tcPr>
          <w:p>
            <w:pPr>
              <w:pStyle w:val="3"/>
              <w:spacing w:line="360" w:lineRule="exact"/>
              <w:jc w:val="center"/>
              <w:rPr>
                <w:color w:val="000000"/>
                <w:sz w:val="18"/>
                <w:szCs w:val="18"/>
              </w:rPr>
            </w:pPr>
            <w:r>
              <w:rPr>
                <w:color w:val="000000"/>
                <w:sz w:val="18"/>
                <w:szCs w:val="18"/>
              </w:rPr>
              <w:t>-8</w:t>
            </w:r>
          </w:p>
        </w:tc>
        <w:tc>
          <w:tcPr>
            <w:tcW w:w="1228" w:type="dxa"/>
            <w:vAlign w:val="center"/>
          </w:tcPr>
          <w:p>
            <w:pPr>
              <w:pStyle w:val="3"/>
              <w:spacing w:line="360" w:lineRule="exact"/>
              <w:jc w:val="center"/>
              <w:rPr>
                <w:color w:val="000000"/>
                <w:sz w:val="18"/>
                <w:szCs w:val="18"/>
              </w:rPr>
            </w:pPr>
            <w:r>
              <w:rPr>
                <w:color w:val="000000"/>
                <w:sz w:val="18"/>
                <w:szCs w:val="18"/>
              </w:rPr>
              <w:t>-5</w:t>
            </w:r>
          </w:p>
        </w:tc>
        <w:tc>
          <w:tcPr>
            <w:tcW w:w="1228" w:type="dxa"/>
            <w:vAlign w:val="center"/>
          </w:tcPr>
          <w:p>
            <w:pPr>
              <w:pStyle w:val="3"/>
              <w:spacing w:line="360" w:lineRule="exact"/>
              <w:jc w:val="center"/>
              <w:rPr>
                <w:color w:val="000000"/>
                <w:sz w:val="18"/>
                <w:szCs w:val="18"/>
              </w:rPr>
            </w:pPr>
            <w:r>
              <w:rPr>
                <w:color w:val="000000"/>
                <w:sz w:val="18"/>
                <w:szCs w:val="18"/>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pStyle w:val="3"/>
              <w:spacing w:line="360" w:lineRule="exact"/>
              <w:jc w:val="center"/>
              <w:rPr>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pPr>
              <w:pStyle w:val="3"/>
              <w:spacing w:line="360" w:lineRule="exact"/>
              <w:jc w:val="center"/>
              <w:rPr>
                <w:color w:val="000000"/>
                <w:sz w:val="18"/>
                <w:szCs w:val="18"/>
              </w:rPr>
            </w:pPr>
            <w:r>
              <w:rPr>
                <w:color w:val="000000"/>
                <w:sz w:val="18"/>
                <w:szCs w:val="18"/>
              </w:rPr>
              <w:t>-14</w:t>
            </w:r>
          </w:p>
        </w:tc>
        <w:tc>
          <w:tcPr>
            <w:tcW w:w="1228" w:type="dxa"/>
            <w:vAlign w:val="center"/>
          </w:tcPr>
          <w:p>
            <w:pPr>
              <w:pStyle w:val="3"/>
              <w:spacing w:line="360" w:lineRule="exact"/>
              <w:jc w:val="center"/>
              <w:rPr>
                <w:color w:val="000000"/>
                <w:sz w:val="18"/>
                <w:szCs w:val="18"/>
              </w:rPr>
            </w:pPr>
            <w:r>
              <w:rPr>
                <w:color w:val="000000"/>
                <w:sz w:val="18"/>
                <w:szCs w:val="18"/>
              </w:rPr>
              <w:t>-10</w:t>
            </w:r>
          </w:p>
        </w:tc>
        <w:tc>
          <w:tcPr>
            <w:tcW w:w="1228" w:type="dxa"/>
            <w:vAlign w:val="center"/>
          </w:tcPr>
          <w:p>
            <w:pPr>
              <w:pStyle w:val="3"/>
              <w:spacing w:line="360" w:lineRule="exact"/>
              <w:jc w:val="center"/>
              <w:rPr>
                <w:color w:val="000000"/>
                <w:sz w:val="18"/>
                <w:szCs w:val="18"/>
              </w:rPr>
            </w:pPr>
            <w:r>
              <w:rPr>
                <w:color w:val="000000"/>
                <w:sz w:val="18"/>
                <w:szCs w:val="18"/>
              </w:rPr>
              <w:t>-7</w:t>
            </w:r>
          </w:p>
        </w:tc>
        <w:tc>
          <w:tcPr>
            <w:tcW w:w="1228" w:type="dxa"/>
            <w:vAlign w:val="center"/>
          </w:tcPr>
          <w:p>
            <w:pPr>
              <w:pStyle w:val="3"/>
              <w:spacing w:line="360" w:lineRule="exact"/>
              <w:jc w:val="center"/>
              <w:rPr>
                <w:color w:val="000000"/>
                <w:sz w:val="18"/>
                <w:szCs w:val="18"/>
              </w:rPr>
            </w:pPr>
            <w:r>
              <w:rPr>
                <w:color w:val="000000"/>
                <w:sz w:val="18"/>
                <w:szCs w:val="18"/>
              </w:rPr>
              <w:t>-4</w:t>
            </w:r>
          </w:p>
        </w:tc>
        <w:tc>
          <w:tcPr>
            <w:tcW w:w="1228" w:type="dxa"/>
            <w:vAlign w:val="center"/>
          </w:tcPr>
          <w:p>
            <w:pPr>
              <w:pStyle w:val="3"/>
              <w:spacing w:line="360" w:lineRule="exact"/>
              <w:jc w:val="center"/>
              <w:rPr>
                <w:color w:val="000000"/>
                <w:sz w:val="18"/>
                <w:szCs w:val="18"/>
              </w:rPr>
            </w:pPr>
            <w:r>
              <w:rPr>
                <w:color w:val="000000"/>
                <w:sz w:val="18"/>
                <w:szCs w:val="18"/>
              </w:rPr>
              <w:t>-6</w:t>
            </w:r>
          </w:p>
        </w:tc>
      </w:tr>
    </w:tbl>
    <w:p>
      <w:pPr>
        <w:pStyle w:val="3"/>
        <w:ind w:firstLine="420" w:firstLineChars="200"/>
        <w:rPr>
          <w:lang w:val="en-US"/>
        </w:rPr>
      </w:pPr>
    </w:p>
    <w:p>
      <w:pPr>
        <w:ind w:firstLine="480"/>
        <w:jc w:val="center"/>
        <w:rPr>
          <w:rFonts w:ascii="宋体" w:hAnsi="宋体"/>
        </w:rPr>
      </w:pPr>
    </w:p>
    <w:p>
      <w:pPr>
        <w:pStyle w:val="2"/>
        <w:ind w:left="669" w:hanging="669"/>
      </w:pPr>
      <w:bookmarkStart w:id="34" w:name="_Toc8580"/>
      <w:r>
        <w:rPr>
          <w:rFonts w:hint="eastAsia"/>
        </w:rPr>
        <w:t>构件空气声隔声性能</w:t>
      </w:r>
      <w:bookmarkEnd w:id="34"/>
    </w:p>
    <w:p>
      <w:pPr>
        <w:pStyle w:val="4"/>
      </w:pPr>
      <w:bookmarkStart w:id="35" w:name="_Toc10947"/>
      <w:r>
        <w:rPr>
          <w:rFonts w:hint="eastAsia"/>
        </w:rPr>
        <w:t>墙板的空气声隔声量</w:t>
      </w:r>
      <w:bookmarkEnd w:id="35"/>
    </w:p>
    <w:p>
      <w:pPr>
        <w:pStyle w:val="5"/>
      </w:pPr>
      <w:bookmarkStart w:id="36" w:name="_Toc12398"/>
      <w:r>
        <w:rPr>
          <w:rFonts w:hint="eastAsia"/>
        </w:rPr>
        <w:t>墙板构造做法</w:t>
      </w:r>
      <w:bookmarkEnd w:id="36"/>
    </w:p>
    <w:p>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pPr>
        <w:pStyle w:val="3"/>
        <w:ind w:firstLine="420" w:firstLineChars="200"/>
      </w:pPr>
      <w:r>
        <w:rPr>
          <w:rFonts w:hint="eastAsia"/>
        </w:rPr>
        <w:t>本项目</w:t>
      </w:r>
      <w:r>
        <w:t>中</w:t>
      </w:r>
      <w:r>
        <w:rPr>
          <w:rFonts w:hint="eastAsia"/>
        </w:rPr>
        <w:t>建筑围护结构详细信息可见下表：</w:t>
      </w:r>
    </w:p>
    <w:p>
      <w:pPr>
        <w:jc w:val="center"/>
        <w:rPr>
          <w:lang w:val="en-US"/>
        </w:rPr>
      </w:pPr>
      <w:r>
        <w:rPr>
          <w:rFonts w:hint="eastAsia"/>
          <w:lang w:val="en-US"/>
        </w:rPr>
        <w:t>表</w:t>
      </w:r>
      <w:r>
        <w:rPr>
          <w:lang w:val="en-US"/>
        </w:rPr>
        <w:t xml:space="preserve">5.1  </w:t>
      </w:r>
      <w:r>
        <w:rPr>
          <w:rFonts w:hint="eastAsia"/>
          <w:lang w:val="en-US"/>
        </w:rPr>
        <w:t>建筑围护结构构造与材料清单</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3271"/>
        <w:gridCol w:w="990"/>
        <w:gridCol w:w="990"/>
        <w:gridCol w:w="990"/>
        <w:gridCol w:w="112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构件</w:t>
            </w:r>
          </w:p>
        </w:tc>
        <w:tc>
          <w:tcPr>
            <w:shd w:val="clear" w:color="auto" w:fill="E6E6E6"/>
            <w:vAlign w:val="center"/>
          </w:tcPr>
          <w:p>
            <w:pPr>
              <w:jc w:val="center"/>
            </w:pPr>
            <w:r>
              <w:t>材料</w:t>
            </w:r>
          </w:p>
        </w:tc>
        <w:tc>
          <w:tcPr>
            <w:shd w:val="clear" w:color="auto" w:fill="E6E6E6"/>
            <w:vAlign w:val="center"/>
          </w:tcPr>
          <w:p>
            <w:pPr>
              <w:jc w:val="center"/>
            </w:pPr>
            <w:r>
              <w:t>厚度(mm)</w:t>
            </w:r>
          </w:p>
        </w:tc>
        <w:tc>
          <w:tcPr>
            <w:shd w:val="clear" w:color="auto" w:fill="E6E6E6"/>
            <w:vAlign w:val="center"/>
          </w:tcPr>
          <w:p>
            <w:pPr>
              <w:jc w:val="center"/>
            </w:pPr>
            <w:r>
              <w:t>密度(kg/m</w:t>
            </w:r>
            <w:r>
              <w:rPr>
                <w:vertAlign w:val="superscript"/>
              </w:rPr>
              <w:t>3</w:t>
            </w:r>
            <w:r>
              <w:t>)</w:t>
            </w:r>
          </w:p>
        </w:tc>
        <w:tc>
          <w:tcPr>
            <w:shd w:val="clear" w:color="auto" w:fill="E6E6E6"/>
            <w:vAlign w:val="center"/>
          </w:tcPr>
          <w:p>
            <w:pPr>
              <w:jc w:val="center"/>
            </w:pPr>
            <w:r>
              <w:t>面密度(kg/m</w:t>
            </w:r>
            <w:r>
              <w:rPr>
                <w:vertAlign w:val="superscript"/>
              </w:rPr>
              <w:t>2</w:t>
            </w:r>
            <w:r>
              <w:t>)</w:t>
            </w:r>
          </w:p>
        </w:tc>
        <w:tc>
          <w:tcPr>
            <w:shd w:val="clear" w:color="auto" w:fill="E6E6E6"/>
            <w:vAlign w:val="center"/>
          </w:tcPr>
          <w:p>
            <w:pPr>
              <w:jc w:val="center"/>
            </w:pPr>
            <w:r>
              <w:t>总面密度(kg/m</w:t>
            </w:r>
            <w:r>
              <w:rPr>
                <w:vertAlign w:val="superscript"/>
              </w:rPr>
              <w:t>2</w:t>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外墙</w:t>
            </w:r>
          </w:p>
        </w:tc>
        <w:tc>
          <w:tcPr>
            <w:vAlign w:val="center"/>
          </w:tcPr>
          <w:p>
            <w:r>
              <w:t>水泥砂浆L</w:t>
            </w:r>
          </w:p>
        </w:tc>
        <w:tc>
          <w:tcPr>
            <w:vAlign w:val="center"/>
          </w:tcPr>
          <w:p>
            <w:r>
              <w:t>20</w:t>
            </w:r>
          </w:p>
        </w:tc>
        <w:tc>
          <w:tcPr>
            <w:vAlign w:val="center"/>
          </w:tcPr>
          <w:p>
            <w:r>
              <w:t>1800</w:t>
            </w:r>
          </w:p>
        </w:tc>
        <w:tc>
          <w:tcPr>
            <w:vAlign w:val="center"/>
          </w:tcPr>
          <w:p>
            <w:r>
              <w:t>36</w:t>
            </w:r>
          </w:p>
        </w:tc>
        <w:tc>
          <w:tcPr>
            <w:vMerge w:val="restart"/>
            <w:vAlign w:val="center"/>
          </w:tcPr>
          <w:p>
            <w:r>
              <w:t>496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承重空心砖墙L</w:t>
            </w:r>
          </w:p>
        </w:tc>
        <w:tc>
          <w:tcPr>
            <w:vAlign w:val="center"/>
          </w:tcPr>
          <w:p>
            <w:r>
              <w:t>240</w:t>
            </w:r>
          </w:p>
        </w:tc>
        <w:tc>
          <w:tcPr>
            <w:vAlign w:val="center"/>
          </w:tcPr>
          <w:p>
            <w:r>
              <w:t>1800</w:t>
            </w:r>
          </w:p>
        </w:tc>
        <w:tc>
          <w:tcPr>
            <w:vAlign w:val="center"/>
          </w:tcPr>
          <w:p>
            <w:r>
              <w:t>432</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空气间层L</w:t>
            </w:r>
          </w:p>
        </w:tc>
        <w:tc>
          <w:tcPr>
            <w:vAlign w:val="center"/>
          </w:tcPr>
          <w:p>
            <w:r>
              <w:t>20</w:t>
            </w:r>
          </w:p>
        </w:tc>
        <w:tc>
          <w:tcPr>
            <w:vAlign w:val="center"/>
          </w:tcPr>
          <w:p>
            <w:r>
              <w:t>1</w:t>
            </w:r>
          </w:p>
        </w:tc>
        <w:tc>
          <w:tcPr>
            <w:vAlign w:val="center"/>
          </w:tcPr>
          <w:p>
            <w:r>
              <w:t>0</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岩棉，玻璃棉板L2</w:t>
            </w:r>
          </w:p>
        </w:tc>
        <w:tc>
          <w:tcPr>
            <w:vAlign w:val="center"/>
          </w:tcPr>
          <w:p>
            <w:r>
              <w:t>180</w:t>
            </w:r>
          </w:p>
        </w:tc>
        <w:tc>
          <w:tcPr>
            <w:vAlign w:val="center"/>
          </w:tcPr>
          <w:p>
            <w:r>
              <w:t>150</w:t>
            </w:r>
          </w:p>
        </w:tc>
        <w:tc>
          <w:tcPr>
            <w:vAlign w:val="center"/>
          </w:tcPr>
          <w:p>
            <w:r>
              <w:t>27</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石膏板L</w:t>
            </w:r>
          </w:p>
        </w:tc>
        <w:tc>
          <w:tcPr>
            <w:vAlign w:val="center"/>
          </w:tcPr>
          <w:p>
            <w:r>
              <w:t>10</w:t>
            </w:r>
          </w:p>
        </w:tc>
        <w:tc>
          <w:tcPr>
            <w:vAlign w:val="center"/>
          </w:tcPr>
          <w:p>
            <w:r>
              <w:t>50</w:t>
            </w:r>
          </w:p>
        </w:tc>
        <w:tc>
          <w:tcPr>
            <w:vAlign w:val="center"/>
          </w:tcPr>
          <w:p>
            <w:r>
              <w:t>1</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隔墙1</w:t>
            </w:r>
          </w:p>
        </w:tc>
        <w:tc>
          <w:tcPr>
            <w:vAlign w:val="center"/>
          </w:tcPr>
          <w:p>
            <w:r>
              <w:t>水泥砂浆L</w:t>
            </w:r>
          </w:p>
        </w:tc>
        <w:tc>
          <w:tcPr>
            <w:vAlign w:val="center"/>
          </w:tcPr>
          <w:p>
            <w:r>
              <w:t>20</w:t>
            </w:r>
          </w:p>
        </w:tc>
        <w:tc>
          <w:tcPr>
            <w:vAlign w:val="center"/>
          </w:tcPr>
          <w:p>
            <w:r>
              <w:t>1800</w:t>
            </w:r>
          </w:p>
        </w:tc>
        <w:tc>
          <w:tcPr>
            <w:vAlign w:val="center"/>
          </w:tcPr>
          <w:p>
            <w:r>
              <w:t>36</w:t>
            </w:r>
          </w:p>
        </w:tc>
        <w:tc>
          <w:tcPr>
            <w:vMerge w:val="restart"/>
            <w:vAlign w:val="center"/>
          </w:tcPr>
          <w:p>
            <w:r>
              <w:t>146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贴坚壳珍珠岩板L</w:t>
            </w:r>
          </w:p>
        </w:tc>
        <w:tc>
          <w:tcPr>
            <w:vAlign w:val="center"/>
          </w:tcPr>
          <w:p>
            <w:r>
              <w:t>60</w:t>
            </w:r>
          </w:p>
        </w:tc>
        <w:tc>
          <w:tcPr>
            <w:vAlign w:val="center"/>
          </w:tcPr>
          <w:p>
            <w:r>
              <w:t>300</w:t>
            </w:r>
          </w:p>
        </w:tc>
        <w:tc>
          <w:tcPr>
            <w:vAlign w:val="center"/>
          </w:tcPr>
          <w:p>
            <w:r>
              <w:t>18</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砂浆找平层L</w:t>
            </w:r>
          </w:p>
        </w:tc>
        <w:tc>
          <w:tcPr>
            <w:vAlign w:val="center"/>
          </w:tcPr>
          <w:p>
            <w:r>
              <w:t>20</w:t>
            </w:r>
          </w:p>
        </w:tc>
        <w:tc>
          <w:tcPr>
            <w:vAlign w:val="center"/>
          </w:tcPr>
          <w:p>
            <w:r>
              <w:t>1000</w:t>
            </w:r>
          </w:p>
        </w:tc>
        <w:tc>
          <w:tcPr>
            <w:vAlign w:val="center"/>
          </w:tcPr>
          <w:p>
            <w:r>
              <w:t>20</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承重空心砖墙L</w:t>
            </w:r>
          </w:p>
        </w:tc>
        <w:tc>
          <w:tcPr>
            <w:vAlign w:val="center"/>
          </w:tcPr>
          <w:p>
            <w:r>
              <w:t>20</w:t>
            </w:r>
          </w:p>
        </w:tc>
        <w:tc>
          <w:tcPr>
            <w:vAlign w:val="center"/>
          </w:tcPr>
          <w:p>
            <w:r>
              <w:t>1800</w:t>
            </w:r>
          </w:p>
        </w:tc>
        <w:tc>
          <w:tcPr>
            <w:vAlign w:val="center"/>
          </w:tcPr>
          <w:p>
            <w:r>
              <w:t>36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白灰砂浆L</w:t>
            </w:r>
          </w:p>
        </w:tc>
        <w:tc>
          <w:tcPr>
            <w:vAlign w:val="center"/>
          </w:tcPr>
          <w:p>
            <w:r>
              <w:t>20</w:t>
            </w:r>
          </w:p>
        </w:tc>
        <w:tc>
          <w:tcPr>
            <w:vAlign w:val="center"/>
          </w:tcPr>
          <w:p>
            <w:r>
              <w:t>1800</w:t>
            </w:r>
          </w:p>
        </w:tc>
        <w:tc>
          <w:tcPr>
            <w:vAlign w:val="center"/>
          </w:tcPr>
          <w:p>
            <w:r>
              <w:t>36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隔墙2</w:t>
            </w:r>
          </w:p>
        </w:tc>
        <w:tc>
          <w:tcPr>
            <w:vAlign w:val="center"/>
          </w:tcPr>
          <w:p>
            <w:r>
              <w:t>水泥砂浆L</w:t>
            </w:r>
          </w:p>
        </w:tc>
        <w:tc>
          <w:tcPr>
            <w:vAlign w:val="center"/>
          </w:tcPr>
          <w:p>
            <w:r>
              <w:t>20</w:t>
            </w:r>
          </w:p>
        </w:tc>
        <w:tc>
          <w:tcPr>
            <w:vAlign w:val="center"/>
          </w:tcPr>
          <w:p>
            <w:r>
              <w:t>1800</w:t>
            </w:r>
          </w:p>
        </w:tc>
        <w:tc>
          <w:tcPr>
            <w:vAlign w:val="center"/>
          </w:tcPr>
          <w:p>
            <w:r>
              <w:t>36</w:t>
            </w:r>
          </w:p>
        </w:tc>
        <w:tc>
          <w:tcPr>
            <w:vMerge w:val="restart"/>
            <w:vAlign w:val="center"/>
          </w:tcPr>
          <w:p>
            <w:r>
              <w:t>522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承重空心砖墙L</w:t>
            </w:r>
          </w:p>
        </w:tc>
        <w:tc>
          <w:tcPr>
            <w:vAlign w:val="center"/>
          </w:tcPr>
          <w:p>
            <w:r>
              <w:t>240</w:t>
            </w:r>
          </w:p>
        </w:tc>
        <w:tc>
          <w:tcPr>
            <w:vAlign w:val="center"/>
          </w:tcPr>
          <w:p>
            <w:r>
              <w:t>1800</w:t>
            </w:r>
          </w:p>
        </w:tc>
        <w:tc>
          <w:tcPr>
            <w:vAlign w:val="center"/>
          </w:tcPr>
          <w:p>
            <w:r>
              <w:t>432</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空气间层L</w:t>
            </w:r>
          </w:p>
        </w:tc>
        <w:tc>
          <w:tcPr>
            <w:vAlign w:val="center"/>
          </w:tcPr>
          <w:p>
            <w:r>
              <w:t>20</w:t>
            </w:r>
          </w:p>
        </w:tc>
        <w:tc>
          <w:tcPr>
            <w:vAlign w:val="center"/>
          </w:tcPr>
          <w:p>
            <w:r>
              <w:t>1</w:t>
            </w:r>
          </w:p>
        </w:tc>
        <w:tc>
          <w:tcPr>
            <w:vAlign w:val="center"/>
          </w:tcPr>
          <w:p>
            <w:r>
              <w:t>0</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坚壳珍珠岩L</w:t>
            </w:r>
          </w:p>
        </w:tc>
        <w:tc>
          <w:tcPr>
            <w:vAlign w:val="center"/>
          </w:tcPr>
          <w:p>
            <w:r>
              <w:t>60</w:t>
            </w:r>
          </w:p>
        </w:tc>
        <w:tc>
          <w:tcPr>
            <w:vAlign w:val="center"/>
          </w:tcPr>
          <w:p>
            <w:r>
              <w:t>300</w:t>
            </w:r>
          </w:p>
        </w:tc>
        <w:tc>
          <w:tcPr>
            <w:vAlign w:val="center"/>
          </w:tcPr>
          <w:p>
            <w:r>
              <w:t>18</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白灰砂浆L</w:t>
            </w:r>
          </w:p>
        </w:tc>
        <w:tc>
          <w:tcPr>
            <w:vAlign w:val="center"/>
          </w:tcPr>
          <w:p>
            <w:r>
              <w:t>20</w:t>
            </w:r>
          </w:p>
        </w:tc>
        <w:tc>
          <w:tcPr>
            <w:vAlign w:val="center"/>
          </w:tcPr>
          <w:p>
            <w:r>
              <w:t>1800</w:t>
            </w:r>
          </w:p>
        </w:tc>
        <w:tc>
          <w:tcPr>
            <w:vAlign w:val="center"/>
          </w:tcPr>
          <w:p>
            <w:r>
              <w:t>36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隔墙3</w:t>
            </w:r>
          </w:p>
        </w:tc>
        <w:tc>
          <w:tcPr>
            <w:vAlign w:val="center"/>
          </w:tcPr>
          <w:p>
            <w:r>
              <w:t>抗裂砂浆</w:t>
            </w:r>
          </w:p>
        </w:tc>
        <w:tc>
          <w:tcPr>
            <w:vAlign w:val="center"/>
          </w:tcPr>
          <w:p>
            <w:r>
              <w:t>5</w:t>
            </w:r>
          </w:p>
        </w:tc>
        <w:tc>
          <w:tcPr>
            <w:vAlign w:val="center"/>
          </w:tcPr>
          <w:p>
            <w:r>
              <w:t>1800</w:t>
            </w:r>
          </w:p>
        </w:tc>
        <w:tc>
          <w:tcPr>
            <w:vAlign w:val="center"/>
          </w:tcPr>
          <w:p>
            <w:r>
              <w:t>9</w:t>
            </w:r>
          </w:p>
        </w:tc>
        <w:tc>
          <w:tcPr>
            <w:vMerge w:val="restart"/>
            <w:vAlign w:val="center"/>
          </w:tcPr>
          <w:p>
            <w:r>
              <w:t>576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TD泡沫混凝土保温板</w:t>
            </w:r>
          </w:p>
        </w:tc>
        <w:tc>
          <w:tcPr>
            <w:vAlign w:val="center"/>
          </w:tcPr>
          <w:p>
            <w:r>
              <w:t>50</w:t>
            </w:r>
          </w:p>
        </w:tc>
        <w:tc>
          <w:tcPr>
            <w:vAlign w:val="center"/>
          </w:tcPr>
          <w:p>
            <w:r>
              <w:t>120</w:t>
            </w:r>
          </w:p>
        </w:tc>
        <w:tc>
          <w:tcPr>
            <w:vAlign w:val="center"/>
          </w:tcPr>
          <w:p>
            <w:r>
              <w:t>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专用抹面砂浆</w:t>
            </w:r>
          </w:p>
        </w:tc>
        <w:tc>
          <w:tcPr>
            <w:vAlign w:val="center"/>
          </w:tcPr>
          <w:p>
            <w:r>
              <w:t>5</w:t>
            </w:r>
          </w:p>
        </w:tc>
        <w:tc>
          <w:tcPr>
            <w:vAlign w:val="center"/>
          </w:tcPr>
          <w:p>
            <w:r>
              <w:t>1800</w:t>
            </w:r>
          </w:p>
        </w:tc>
        <w:tc>
          <w:tcPr>
            <w:vAlign w:val="center"/>
          </w:tcPr>
          <w:p>
            <w:r>
              <w:t>9</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粘土多孔砖(承重型)</w:t>
            </w:r>
          </w:p>
        </w:tc>
        <w:tc>
          <w:tcPr>
            <w:vAlign w:val="center"/>
          </w:tcPr>
          <w:p>
            <w:r>
              <w:t>370</w:t>
            </w:r>
          </w:p>
        </w:tc>
        <w:tc>
          <w:tcPr>
            <w:vAlign w:val="center"/>
          </w:tcPr>
          <w:p>
            <w:r>
              <w:t>1400</w:t>
            </w:r>
          </w:p>
        </w:tc>
        <w:tc>
          <w:tcPr>
            <w:vAlign w:val="center"/>
          </w:tcPr>
          <w:p>
            <w:r>
              <w:t>518</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混合砂浆（石灰水泥砂浆）</w:t>
            </w:r>
          </w:p>
        </w:tc>
        <w:tc>
          <w:tcPr>
            <w:vAlign w:val="center"/>
          </w:tcPr>
          <w:p>
            <w:r>
              <w:t>20</w:t>
            </w:r>
          </w:p>
        </w:tc>
        <w:tc>
          <w:tcPr>
            <w:vAlign w:val="center"/>
          </w:tcPr>
          <w:p>
            <w:r>
              <w:t>1700</w:t>
            </w:r>
          </w:p>
        </w:tc>
        <w:tc>
          <w:tcPr>
            <w:vAlign w:val="center"/>
          </w:tcPr>
          <w:p>
            <w:r>
              <w:t>34</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屋顶</w:t>
            </w:r>
          </w:p>
        </w:tc>
        <w:tc>
          <w:tcPr>
            <w:vAlign w:val="center"/>
          </w:tcPr>
          <w:p>
            <w:r>
              <w:t>防水层</w:t>
            </w:r>
          </w:p>
        </w:tc>
        <w:tc>
          <w:tcPr>
            <w:vAlign w:val="center"/>
          </w:tcPr>
          <w:p>
            <w:r>
              <w:t>4</w:t>
            </w:r>
          </w:p>
        </w:tc>
        <w:tc>
          <w:tcPr>
            <w:vAlign w:val="center"/>
          </w:tcPr>
          <w:p>
            <w:r>
              <w:t>1</w:t>
            </w:r>
          </w:p>
        </w:tc>
        <w:tc>
          <w:tcPr>
            <w:vAlign w:val="center"/>
          </w:tcPr>
          <w:p>
            <w:r>
              <w:t>0</w:t>
            </w:r>
          </w:p>
        </w:tc>
        <w:tc>
          <w:tcPr>
            <w:vMerge w:val="restart"/>
            <w:vAlign w:val="center"/>
          </w:tcPr>
          <w:p>
            <w:r>
              <w:t>397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抗裂砂浆</w:t>
            </w:r>
          </w:p>
        </w:tc>
        <w:tc>
          <w:tcPr>
            <w:vAlign w:val="center"/>
          </w:tcPr>
          <w:p>
            <w:r>
              <w:t>5</w:t>
            </w:r>
          </w:p>
        </w:tc>
        <w:tc>
          <w:tcPr>
            <w:vAlign w:val="center"/>
          </w:tcPr>
          <w:p>
            <w:r>
              <w:t>1800</w:t>
            </w:r>
          </w:p>
        </w:tc>
        <w:tc>
          <w:tcPr>
            <w:vAlign w:val="center"/>
          </w:tcPr>
          <w:p>
            <w:r>
              <w:t>9</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胶粉聚苯颗粒保温层</w:t>
            </w:r>
          </w:p>
        </w:tc>
        <w:tc>
          <w:tcPr>
            <w:vAlign w:val="center"/>
          </w:tcPr>
          <w:p>
            <w:r>
              <w:t>315</w:t>
            </w:r>
          </w:p>
        </w:tc>
        <w:tc>
          <w:tcPr>
            <w:vAlign w:val="center"/>
          </w:tcPr>
          <w:p>
            <w:r>
              <w:t>230</w:t>
            </w:r>
          </w:p>
        </w:tc>
        <w:tc>
          <w:tcPr>
            <w:vAlign w:val="center"/>
          </w:tcPr>
          <w:p>
            <w:r>
              <w:t>72</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水泥珍珠岩找坡层</w:t>
            </w:r>
          </w:p>
        </w:tc>
        <w:tc>
          <w:tcPr>
            <w:vAlign w:val="center"/>
          </w:tcPr>
          <w:p>
            <w:r>
              <w:t>80</w:t>
            </w:r>
          </w:p>
        </w:tc>
        <w:tc>
          <w:tcPr>
            <w:vAlign w:val="center"/>
          </w:tcPr>
          <w:p>
            <w:r>
              <w:t>400</w:t>
            </w:r>
          </w:p>
        </w:tc>
        <w:tc>
          <w:tcPr>
            <w:vAlign w:val="center"/>
          </w:tcPr>
          <w:p>
            <w:r>
              <w:t>32</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钢筋混凝土屋面板</w:t>
            </w:r>
          </w:p>
        </w:tc>
        <w:tc>
          <w:tcPr>
            <w:vAlign w:val="center"/>
          </w:tcPr>
          <w:p>
            <w:r>
              <w:t>100</w:t>
            </w:r>
          </w:p>
        </w:tc>
        <w:tc>
          <w:tcPr>
            <w:vAlign w:val="center"/>
          </w:tcPr>
          <w:p>
            <w:r>
              <w:t>2500</w:t>
            </w:r>
          </w:p>
        </w:tc>
        <w:tc>
          <w:tcPr>
            <w:vAlign w:val="center"/>
          </w:tcPr>
          <w:p>
            <w:r>
              <w:t>250</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混合砂浆</w:t>
            </w:r>
          </w:p>
        </w:tc>
        <w:tc>
          <w:tcPr>
            <w:vAlign w:val="center"/>
          </w:tcPr>
          <w:p>
            <w:r>
              <w:t>20</w:t>
            </w:r>
          </w:p>
        </w:tc>
        <w:tc>
          <w:tcPr>
            <w:vAlign w:val="center"/>
          </w:tcPr>
          <w:p>
            <w:r>
              <w:t>1700</w:t>
            </w:r>
          </w:p>
        </w:tc>
        <w:tc>
          <w:tcPr>
            <w:vAlign w:val="center"/>
          </w:tcPr>
          <w:p>
            <w:r>
              <w:t>34</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楼板</w:t>
            </w:r>
          </w:p>
        </w:tc>
        <w:tc>
          <w:tcPr>
            <w:vAlign w:val="center"/>
          </w:tcPr>
          <w:p>
            <w:r>
              <w:t>水泥砂浆L</w:t>
            </w:r>
          </w:p>
        </w:tc>
        <w:tc>
          <w:tcPr>
            <w:vAlign w:val="center"/>
          </w:tcPr>
          <w:p>
            <w:r>
              <w:t>20</w:t>
            </w:r>
          </w:p>
        </w:tc>
        <w:tc>
          <w:tcPr>
            <w:vAlign w:val="center"/>
          </w:tcPr>
          <w:p>
            <w:r>
              <w:t>1800</w:t>
            </w:r>
          </w:p>
        </w:tc>
        <w:tc>
          <w:tcPr>
            <w:vAlign w:val="center"/>
          </w:tcPr>
          <w:p>
            <w:r>
              <w:t>36</w:t>
            </w:r>
          </w:p>
        </w:tc>
        <w:tc>
          <w:tcPr>
            <w:vMerge w:val="restart"/>
            <w:vAlign w:val="center"/>
          </w:tcPr>
          <w:p>
            <w:r>
              <w:t>522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承重空心砖墙L</w:t>
            </w:r>
          </w:p>
        </w:tc>
        <w:tc>
          <w:tcPr>
            <w:vAlign w:val="center"/>
          </w:tcPr>
          <w:p>
            <w:r>
              <w:t>240</w:t>
            </w:r>
          </w:p>
        </w:tc>
        <w:tc>
          <w:tcPr>
            <w:vAlign w:val="center"/>
          </w:tcPr>
          <w:p>
            <w:r>
              <w:t>1800</w:t>
            </w:r>
          </w:p>
        </w:tc>
        <w:tc>
          <w:tcPr>
            <w:vAlign w:val="center"/>
          </w:tcPr>
          <w:p>
            <w:r>
              <w:t>432</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空气间层L</w:t>
            </w:r>
          </w:p>
        </w:tc>
        <w:tc>
          <w:tcPr>
            <w:vAlign w:val="center"/>
          </w:tcPr>
          <w:p>
            <w:r>
              <w:t>20</w:t>
            </w:r>
          </w:p>
        </w:tc>
        <w:tc>
          <w:tcPr>
            <w:vAlign w:val="center"/>
          </w:tcPr>
          <w:p>
            <w:r>
              <w:t>1</w:t>
            </w:r>
          </w:p>
        </w:tc>
        <w:tc>
          <w:tcPr>
            <w:vAlign w:val="center"/>
          </w:tcPr>
          <w:p>
            <w:r>
              <w:t>0</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坚壳珍珠岩L</w:t>
            </w:r>
          </w:p>
        </w:tc>
        <w:tc>
          <w:tcPr>
            <w:vAlign w:val="center"/>
          </w:tcPr>
          <w:p>
            <w:r>
              <w:t>60</w:t>
            </w:r>
          </w:p>
        </w:tc>
        <w:tc>
          <w:tcPr>
            <w:vAlign w:val="center"/>
          </w:tcPr>
          <w:p>
            <w:r>
              <w:t>300</w:t>
            </w:r>
          </w:p>
        </w:tc>
        <w:tc>
          <w:tcPr>
            <w:vAlign w:val="center"/>
          </w:tcPr>
          <w:p>
            <w:r>
              <w:t>18</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白灰砂浆L</w:t>
            </w:r>
          </w:p>
        </w:tc>
        <w:tc>
          <w:tcPr>
            <w:vAlign w:val="center"/>
          </w:tcPr>
          <w:p>
            <w:r>
              <w:t>20</w:t>
            </w:r>
          </w:p>
        </w:tc>
        <w:tc>
          <w:tcPr>
            <w:vAlign w:val="center"/>
          </w:tcPr>
          <w:p>
            <w:r>
              <w:t>1800</w:t>
            </w:r>
          </w:p>
        </w:tc>
        <w:tc>
          <w:tcPr>
            <w:vAlign w:val="center"/>
          </w:tcPr>
          <w:p>
            <w:r>
              <w:t>36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挑空楼板</w:t>
            </w:r>
          </w:p>
        </w:tc>
        <w:tc>
          <w:tcPr>
            <w:vAlign w:val="center"/>
          </w:tcPr>
          <w:p>
            <w:r>
              <w:t>水泥砂浆楼面面层</w:t>
            </w:r>
          </w:p>
        </w:tc>
        <w:tc>
          <w:tcPr>
            <w:vAlign w:val="center"/>
          </w:tcPr>
          <w:p>
            <w:r>
              <w:t>20</w:t>
            </w:r>
          </w:p>
        </w:tc>
        <w:tc>
          <w:tcPr>
            <w:vAlign w:val="center"/>
          </w:tcPr>
          <w:p>
            <w:r>
              <w:t>1700</w:t>
            </w:r>
          </w:p>
        </w:tc>
        <w:tc>
          <w:tcPr>
            <w:vAlign w:val="center"/>
          </w:tcPr>
          <w:p>
            <w:r>
              <w:t>34</w:t>
            </w:r>
          </w:p>
        </w:tc>
        <w:tc>
          <w:tcPr>
            <w:vMerge w:val="restart"/>
            <w:vAlign w:val="center"/>
          </w:tcPr>
          <w:p>
            <w:r>
              <w:t>396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粉煤灰陶粒砼隔音层</w:t>
            </w:r>
          </w:p>
        </w:tc>
        <w:tc>
          <w:tcPr>
            <w:vAlign w:val="center"/>
          </w:tcPr>
          <w:p>
            <w:r>
              <w:t>60</w:t>
            </w:r>
          </w:p>
        </w:tc>
        <w:tc>
          <w:tcPr>
            <w:vAlign w:val="center"/>
          </w:tcPr>
          <w:p>
            <w:r>
              <w:t>1300</w:t>
            </w:r>
          </w:p>
        </w:tc>
        <w:tc>
          <w:tcPr>
            <w:vAlign w:val="center"/>
          </w:tcPr>
          <w:p>
            <w:r>
              <w:t>78</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XPS板保温层</w:t>
            </w:r>
          </w:p>
        </w:tc>
        <w:tc>
          <w:tcPr>
            <w:vAlign w:val="center"/>
          </w:tcPr>
          <w:p>
            <w:r>
              <w:t>30</w:t>
            </w:r>
          </w:p>
        </w:tc>
        <w:tc>
          <w:tcPr>
            <w:vAlign w:val="center"/>
          </w:tcPr>
          <w:p>
            <w:r>
              <w:t>40</w:t>
            </w:r>
          </w:p>
        </w:tc>
        <w:tc>
          <w:tcPr>
            <w:vAlign w:val="center"/>
          </w:tcPr>
          <w:p>
            <w:r>
              <w:t>1</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10厚1：3水泥砂浆找平层</w:t>
            </w:r>
          </w:p>
        </w:tc>
        <w:tc>
          <w:tcPr>
            <w:vAlign w:val="center"/>
          </w:tcPr>
          <w:p>
            <w:r>
              <w:t>10</w:t>
            </w:r>
          </w:p>
        </w:tc>
        <w:tc>
          <w:tcPr>
            <w:vAlign w:val="center"/>
          </w:tcPr>
          <w:p>
            <w:r>
              <w:t>2100</w:t>
            </w:r>
          </w:p>
        </w:tc>
        <w:tc>
          <w:tcPr>
            <w:vAlign w:val="center"/>
          </w:tcPr>
          <w:p>
            <w:r>
              <w:t>21</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钢筋混凝土楼板</w:t>
            </w:r>
          </w:p>
        </w:tc>
        <w:tc>
          <w:tcPr>
            <w:vAlign w:val="center"/>
          </w:tcPr>
          <w:p>
            <w:r>
              <w:t>100</w:t>
            </w:r>
          </w:p>
        </w:tc>
        <w:tc>
          <w:tcPr>
            <w:vAlign w:val="center"/>
          </w:tcPr>
          <w:p>
            <w:r>
              <w:t>2500</w:t>
            </w:r>
          </w:p>
        </w:tc>
        <w:tc>
          <w:tcPr>
            <w:vAlign w:val="center"/>
          </w:tcPr>
          <w:p>
            <w:r>
              <w:t>250</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EPS板保温层</w:t>
            </w:r>
          </w:p>
        </w:tc>
        <w:tc>
          <w:tcPr>
            <w:vAlign w:val="center"/>
          </w:tcPr>
          <w:p>
            <w:r>
              <w:t>65</w:t>
            </w:r>
          </w:p>
        </w:tc>
        <w:tc>
          <w:tcPr>
            <w:vAlign w:val="center"/>
          </w:tcPr>
          <w:p>
            <w:r>
              <w:t>20</w:t>
            </w:r>
          </w:p>
        </w:tc>
        <w:tc>
          <w:tcPr>
            <w:vAlign w:val="center"/>
          </w:tcPr>
          <w:p>
            <w:r>
              <w:t>1</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薄抹灰饰面层</w:t>
            </w:r>
          </w:p>
        </w:tc>
        <w:tc>
          <w:tcPr>
            <w:vAlign w:val="center"/>
          </w:tcPr>
          <w:p>
            <w:r>
              <w:t>6</w:t>
            </w:r>
          </w:p>
        </w:tc>
        <w:tc>
          <w:tcPr>
            <w:vAlign w:val="center"/>
          </w:tcPr>
          <w:p>
            <w:r>
              <w:t>1800</w:t>
            </w:r>
          </w:p>
        </w:tc>
        <w:tc>
          <w:tcPr>
            <w:vAlign w:val="center"/>
          </w:tcPr>
          <w:p>
            <w:r>
              <w:t>11</w:t>
            </w:r>
          </w:p>
        </w:tc>
        <w:tc>
          <w:tcPr>
            <w:vMerge w:val="continue"/>
            <w:vAlign w:val="center"/>
          </w:tcPr>
          <w:p/>
        </w:tc>
      </w:tr>
    </w:tbl>
    <w:p>
      <w:pPr>
        <w:pStyle w:val="13"/>
        <w:ind w:firstLine="420" w:firstLineChars="0"/>
        <w:jc w:val="center"/>
        <w:rPr>
          <w:rFonts w:ascii="宋体" w:hAnsi="宋体" w:eastAsia="宋体"/>
          <w:color w:val="000000"/>
          <w:sz w:val="21"/>
          <w:szCs w:val="21"/>
        </w:rPr>
      </w:pPr>
      <w:bookmarkStart w:id="37" w:name="围护结构材料清单"/>
      <w:bookmarkEnd w:id="37"/>
    </w:p>
    <w:p>
      <w:pPr>
        <w:pStyle w:val="5"/>
      </w:pPr>
      <w:bookmarkStart w:id="38" w:name="_Toc9961"/>
      <w:r>
        <w:rPr>
          <w:rFonts w:hint="eastAsia"/>
        </w:rPr>
        <w:t>墙板空气声隔声性能</w:t>
      </w:r>
      <w:bookmarkEnd w:id="38"/>
    </w:p>
    <w:p>
      <w:pPr>
        <w:pStyle w:val="3"/>
        <w:ind w:firstLine="420" w:firstLineChars="200"/>
        <w:rPr>
          <w:lang w:val="en-US"/>
        </w:rPr>
      </w:pPr>
      <w:r>
        <w:rPr>
          <w:rFonts w:hint="eastAsia"/>
          <w:lang w:val="en-US"/>
        </w:rPr>
        <w:t>本项目墙板的各频程下空气声隔声量可以通过经验公式计算，或者直接通过构造数据库中给出的构造隔声参数选取合适的空气声隔声量。</w:t>
      </w:r>
    </w:p>
    <w:p>
      <w:pPr>
        <w:pStyle w:val="3"/>
        <w:numPr>
          <w:ilvl w:val="0"/>
          <w:numId w:val="7"/>
        </w:numPr>
        <w:rPr>
          <w:color w:val="FF0000"/>
        </w:rPr>
      </w:pPr>
      <w:r>
        <w:rPr>
          <w:rFonts w:hint="eastAsia"/>
          <w:lang w:val="en-US"/>
        </w:rPr>
        <w:t>符合质量定律的构件，可按面密度m计算各频率下的空气声隔声量：</w:t>
      </w:r>
      <w:r>
        <w:rPr>
          <w:lang w:val="en-US"/>
        </w:rPr>
        <w:t xml:space="preserve"> </w:t>
      </w:r>
    </w:p>
    <w:p>
      <w:pPr>
        <w:pStyle w:val="3"/>
        <w:ind w:left="481" w:leftChars="267"/>
        <w:jc w:val="center"/>
        <w:rPr>
          <w:lang w:val="en-US"/>
        </w:rPr>
      </w:pPr>
      <w:r>
        <w:rPr>
          <w:i/>
          <w:lang w:val="en-US"/>
        </w:rPr>
        <w:t>R</w:t>
      </w:r>
      <w:r>
        <w:rPr>
          <w:rFonts w:hint="eastAsia"/>
          <w:lang w:val="en-US"/>
        </w:rPr>
        <w:t>=</w:t>
      </w:r>
      <w:bookmarkStart w:id="39" w:name="公式A1"/>
      <w:r>
        <w:t>23</w:t>
      </w:r>
      <w:bookmarkEnd w:id="39"/>
      <m:oMath>
        <m:r>
          <m:rPr>
            <m:sty m:val="p"/>
          </m:rPr>
          <w:rPr>
            <w:rFonts w:ascii="Cambria Math" w:hAnsi="Cambria Math"/>
            <w:sz w:val="24"/>
            <w:szCs w:val="24"/>
          </w:rPr>
          <m:t xml:space="preserve"> lg</m:t>
        </m:r>
        <m:r>
          <m:rPr/>
          <w:rPr>
            <w:rFonts w:ascii="Cambria Math" w:hAnsi="Cambria Math"/>
            <w:sz w:val="24"/>
            <w:szCs w:val="24"/>
          </w:rPr>
          <m:t>m</m:t>
        </m:r>
      </m:oMath>
      <w:r>
        <w:rPr>
          <w:lang w:val="en-US"/>
        </w:rPr>
        <w:t xml:space="preserve"> +</w:t>
      </w:r>
      <w:bookmarkStart w:id="40" w:name="公式B1"/>
      <w:r>
        <w:t>11</w:t>
      </w:r>
      <w:bookmarkEnd w:id="40"/>
      <m:oMath>
        <m:r>
          <m:rPr>
            <m:sty m:val="p"/>
          </m:rPr>
          <w:rPr>
            <w:rFonts w:ascii="Cambria Math" w:hAnsi="Cambria Math"/>
            <w:sz w:val="24"/>
            <w:szCs w:val="24"/>
          </w:rPr>
          <m:t>lg</m:t>
        </m:r>
        <m:r>
          <m:rPr/>
          <w:rPr>
            <w:rFonts w:hint="eastAsia" w:ascii="Cambria Math" w:hAnsi="Cambria Math"/>
            <w:sz w:val="24"/>
            <w:szCs w:val="24"/>
          </w:rPr>
          <m:t>ƒ</m:t>
        </m:r>
      </m:oMath>
      <w:r>
        <w:rPr>
          <w:lang w:val="en-US"/>
        </w:rPr>
        <w:t xml:space="preserve"> </w:t>
      </w:r>
      <w:bookmarkStart w:id="41" w:name="公式C1"/>
      <w:r>
        <w:t>-41</w:t>
      </w:r>
      <w:bookmarkEnd w:id="41"/>
      <w:r>
        <w:rPr>
          <w:lang w:val="en-US"/>
        </w:rPr>
        <w:t xml:space="preserve">          （m</w:t>
      </w:r>
      <w:r>
        <w:rPr>
          <w:rFonts w:cs="宋体"/>
          <w:lang w:val="en-US"/>
        </w:rPr>
        <w:t>≥200kg/m</w:t>
      </w:r>
      <w:r>
        <w:rPr>
          <w:rFonts w:cs="宋体"/>
          <w:vertAlign w:val="superscript"/>
          <w:lang w:val="en-US"/>
        </w:rPr>
        <w:t>2</w:t>
      </w:r>
      <w:r>
        <w:rPr>
          <w:lang w:val="en-US"/>
        </w:rPr>
        <w:t>）</w:t>
      </w:r>
    </w:p>
    <w:p>
      <w:pPr>
        <w:pStyle w:val="3"/>
        <w:ind w:left="481" w:leftChars="267"/>
        <w:jc w:val="center"/>
        <w:rPr>
          <w:lang w:val="en-US"/>
        </w:rPr>
      </w:pPr>
      <w:r>
        <w:rPr>
          <w:i/>
          <w:lang w:val="en-US"/>
        </w:rPr>
        <w:t>R</w:t>
      </w:r>
      <w:r>
        <w:rPr>
          <w:rFonts w:hint="eastAsia"/>
          <w:lang w:val="en-US"/>
        </w:rPr>
        <w:t>=</w:t>
      </w:r>
      <w:bookmarkStart w:id="42" w:name="公式A2"/>
      <w:r>
        <w:t>13</w:t>
      </w:r>
      <w:bookmarkEnd w:id="42"/>
      <m:oMath>
        <m:r>
          <m:rPr>
            <m:sty m:val="p"/>
          </m:rPr>
          <w:rPr>
            <w:rFonts w:ascii="Cambria Math" w:hAnsi="Cambria Math"/>
            <w:sz w:val="24"/>
            <w:szCs w:val="24"/>
          </w:rPr>
          <m:t xml:space="preserve"> lg</m:t>
        </m:r>
        <m:r>
          <m:rPr/>
          <w:rPr>
            <w:rFonts w:ascii="Cambria Math" w:hAnsi="Cambria Math"/>
            <w:sz w:val="24"/>
            <w:szCs w:val="24"/>
          </w:rPr>
          <m:t>m</m:t>
        </m:r>
      </m:oMath>
      <w:r>
        <w:rPr>
          <w:lang w:val="en-US"/>
        </w:rPr>
        <w:t xml:space="preserve"> +</w:t>
      </w:r>
      <w:bookmarkStart w:id="43" w:name="公式B2"/>
      <w:r>
        <w:t>11</w:t>
      </w:r>
      <w:bookmarkEnd w:id="43"/>
      <m:oMath>
        <m:r>
          <m:rPr>
            <m:sty m:val="p"/>
          </m:rPr>
          <w:rPr>
            <w:rFonts w:ascii="Cambria Math" w:hAnsi="Cambria Math"/>
            <w:sz w:val="24"/>
            <w:szCs w:val="24"/>
          </w:rPr>
          <m:t xml:space="preserve"> lg</m:t>
        </m:r>
        <m:r>
          <m:rPr/>
          <w:rPr>
            <w:rFonts w:hint="eastAsia" w:ascii="Cambria Math" w:hAnsi="Cambria Math"/>
            <w:sz w:val="24"/>
            <w:szCs w:val="24"/>
          </w:rPr>
          <m:t>ƒ</m:t>
        </m:r>
      </m:oMath>
      <w:r>
        <w:rPr>
          <w:lang w:val="en-US"/>
        </w:rPr>
        <w:t xml:space="preserve"> </w:t>
      </w:r>
      <w:bookmarkStart w:id="44" w:name="公式C2"/>
      <w:r>
        <w:t>-18</w:t>
      </w:r>
      <w:bookmarkEnd w:id="44"/>
      <w:r>
        <w:rPr>
          <w:lang w:val="en-US"/>
        </w:rPr>
        <w:t xml:space="preserve">          （m</w:t>
      </w:r>
      <w:r>
        <w:rPr>
          <w:rFonts w:cs="宋体"/>
          <w:lang w:val="en-US"/>
        </w:rPr>
        <w:t>≤200kg/m</w:t>
      </w:r>
      <w:r>
        <w:rPr>
          <w:rFonts w:cs="宋体"/>
          <w:vertAlign w:val="superscript"/>
          <w:lang w:val="en-US"/>
        </w:rPr>
        <w:t>2</w:t>
      </w:r>
      <w:r>
        <w:rPr>
          <w:lang w:val="en-US"/>
        </w:rPr>
        <w:t>）</w:t>
      </w:r>
    </w:p>
    <w:p>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pPr>
        <w:pStyle w:val="3"/>
        <w:ind w:left="342" w:leftChars="190" w:firstLine="619" w:firstLineChars="295"/>
        <w:rPr>
          <w:rFonts w:ascii="Times New Roman" w:hAnsi="Times New Roman" w:cs="Times New Roman"/>
        </w:rPr>
      </w:pPr>
    </w:p>
    <w:p>
      <w:pPr>
        <w:pStyle w:val="3"/>
        <w:numPr>
          <w:ilvl w:val="0"/>
          <w:numId w:val="8"/>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pPr>
        <w:pStyle w:val="3"/>
        <w:spacing w:after="156" w:afterLines="50"/>
        <w:ind w:firstLine="360" w:firstLineChars="200"/>
        <w:rPr>
          <w:rFonts w:ascii="黑体" w:hAnsi="黑体" w:eastAsia="黑体"/>
          <w:kern w:val="2"/>
          <w:sz w:val="18"/>
          <w:szCs w:val="18"/>
          <w:lang w:val="en-US"/>
        </w:rPr>
      </w:pPr>
      <w:r>
        <w:rPr>
          <w:rFonts w:ascii="黑体" w:hAnsi="黑体" w:eastAsia="黑体"/>
          <w:sz w:val="18"/>
          <w:szCs w:val="18"/>
        </w:rPr>
        <w:t>注：表</w:t>
      </w:r>
      <w:r>
        <w:rPr>
          <w:rFonts w:hint="eastAsia" w:ascii="黑体" w:hAnsi="黑体" w:eastAsia="黑体"/>
          <w:sz w:val="18"/>
          <w:szCs w:val="18"/>
        </w:rPr>
        <w:t>5</w:t>
      </w:r>
      <w:r>
        <w:rPr>
          <w:rFonts w:ascii="黑体" w:hAnsi="黑体" w:eastAsia="黑体"/>
          <w:sz w:val="18"/>
          <w:szCs w:val="18"/>
        </w:rPr>
        <w:t>.2中【隔声量来源】指明了计算采用的方法，“根据面密度计算”或“参照”相近构造的隔声量数据。</w:t>
      </w:r>
    </w:p>
    <w:p>
      <w:pPr>
        <w:jc w:val="right"/>
        <w:rPr>
          <w:lang w:val="en-US"/>
        </w:rPr>
      </w:pPr>
      <w:r>
        <w:rPr>
          <w:rFonts w:hint="eastAsia"/>
          <w:lang w:val="en-US"/>
        </w:rPr>
        <w:t>表5.</w:t>
      </w:r>
      <w:r>
        <w:rPr>
          <w:lang w:val="en-US"/>
        </w:rPr>
        <w:t>2</w:t>
      </w:r>
      <w:r>
        <w:rPr>
          <w:rFonts w:hint="eastAsia"/>
          <w:lang w:val="en-US"/>
        </w:rPr>
        <w:t>墙板空气声隔声性能计算详表</w:t>
      </w:r>
      <w:r>
        <w:rPr>
          <w:lang w:val="en-US"/>
        </w:rPr>
        <w:t xml:space="preserve">                             </w:t>
      </w:r>
      <w:r>
        <w:rPr>
          <w:rFonts w:hint="eastAsia"/>
          <w:lang w:val="en-US"/>
        </w:rPr>
        <w:t>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1975"/>
        <w:gridCol w:w="1131"/>
        <w:gridCol w:w="1131"/>
        <w:gridCol w:w="1131"/>
        <w:gridCol w:w="1131"/>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构件</w:t>
            </w:r>
          </w:p>
        </w:tc>
        <w:tc>
          <w:tcPr>
            <w:gridSpan w:val="6"/>
            <w:shd w:val="clear" w:color="auto" w:fill="E6E6E6"/>
            <w:vAlign w:val="center"/>
          </w:tcPr>
          <w:p>
            <w:pPr>
              <w:jc w:val="center"/>
            </w:pPr>
            <w:r>
              <w:t>计算过程参数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会展中心与噪声敏感房间之间隔墙1</w:t>
            </w:r>
          </w:p>
        </w:tc>
        <w:tc>
          <w:tcPr>
            <w:shd w:val="clear" w:color="auto" w:fill="E6E6E6"/>
            <w:vAlign w:val="center"/>
          </w:tcPr>
          <w:p>
            <w:r>
              <w:t>构造做法</w:t>
            </w:r>
          </w:p>
        </w:tc>
        <w:tc>
          <w:tcPr>
            <w:gridSpan w:val="5"/>
            <w:vAlign w:val="center"/>
          </w:tcPr>
          <w:p>
            <w:r>
              <w:t>水泥砂浆L 20mm＋贴坚壳珍珠岩板L 60mm＋砂浆找平层L 20mm＋承重空心砖墙L 20mm＋白灰砂浆L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146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通过经验公式计算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分频隔声量</w:t>
            </w:r>
          </w:p>
        </w:tc>
        <w:tc>
          <w:tcPr>
            <w:vAlign w:val="center"/>
          </w:tcPr>
          <w:p>
            <w:r>
              <w:t>33.2</w:t>
            </w:r>
          </w:p>
        </w:tc>
        <w:tc>
          <w:tcPr>
            <w:vAlign w:val="center"/>
          </w:tcPr>
          <w:p>
            <w:r>
              <w:t>36.5</w:t>
            </w:r>
          </w:p>
        </w:tc>
        <w:tc>
          <w:tcPr>
            <w:vAlign w:val="center"/>
          </w:tcPr>
          <w:p>
            <w:r>
              <w:t>39.8</w:t>
            </w:r>
          </w:p>
        </w:tc>
        <w:tc>
          <w:tcPr>
            <w:vAlign w:val="center"/>
          </w:tcPr>
          <w:p>
            <w:r>
              <w:t>43.1</w:t>
            </w:r>
          </w:p>
        </w:tc>
        <w:tc>
          <w:tcPr>
            <w:vAlign w:val="center"/>
          </w:tcPr>
          <w:p>
            <w:r>
              <w:t>46.4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不利偏差</w:t>
            </w:r>
          </w:p>
        </w:tc>
        <w:tc>
          <w:tcPr>
            <w:vAlign w:val="center"/>
          </w:tcPr>
          <w:p>
            <w:r>
              <w:t>0.0</w:t>
            </w:r>
          </w:p>
        </w:tc>
        <w:tc>
          <w:tcPr>
            <w:vAlign w:val="center"/>
          </w:tcPr>
          <w:p>
            <w:r>
              <w:t>0.0</w:t>
            </w:r>
          </w:p>
        </w:tc>
        <w:tc>
          <w:tcPr>
            <w:vAlign w:val="center"/>
          </w:tcPr>
          <w:p>
            <w:r>
              <w:t>3.2</w:t>
            </w:r>
          </w:p>
        </w:tc>
        <w:tc>
          <w:tcPr>
            <w:vAlign w:val="center"/>
          </w:tcPr>
          <w:p>
            <w:r>
              <w:t>2.9</w:t>
            </w:r>
          </w:p>
        </w:tc>
        <w:tc>
          <w:tcPr>
            <w:vAlign w:val="center"/>
          </w:tcPr>
          <w:p>
            <w:r>
              <w:t>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计权隔声量</w:t>
            </w:r>
          </w:p>
        </w:tc>
        <w:tc>
          <w:tcPr>
            <w:gridSpan w:val="5"/>
            <w:vAlign w:val="center"/>
          </w:tcPr>
          <w:p>
            <w:r>
              <w:t>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频谱修正量</w:t>
            </w:r>
          </w:p>
        </w:tc>
        <w:tc>
          <w:tcPr>
            <w:gridSpan w:val="5"/>
            <w:vAlign w:val="center"/>
          </w:tcPr>
          <w:p>
            <w:r>
              <w:t>-2.0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隔声性能</w:t>
            </w:r>
          </w:p>
        </w:tc>
        <w:tc>
          <w:tcPr>
            <w:gridSpan w:val="5"/>
            <w:vAlign w:val="center"/>
          </w:tcPr>
          <w:p>
            <w:r>
              <w:t>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限值</w:t>
            </w:r>
          </w:p>
        </w:tc>
        <w:tc>
          <w:tcPr>
            <w:gridSpan w:val="5"/>
            <w:vAlign w:val="center"/>
          </w:tcPr>
          <w:p>
            <w:r>
              <w:t>低限:&gt;45,高要求:&gt;50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结论</w:t>
            </w:r>
          </w:p>
        </w:tc>
        <w:tc>
          <w:tcPr>
            <w:gridSpan w:val="5"/>
            <w:vAlign w:val="center"/>
          </w:tcPr>
          <w:p>
            <w:r>
              <w:rPr>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会展中心与噪声敏感房间之间隔墙2</w:t>
            </w:r>
          </w:p>
        </w:tc>
        <w:tc>
          <w:tcPr>
            <w:shd w:val="clear" w:color="auto" w:fill="E6E6E6"/>
            <w:vAlign w:val="center"/>
          </w:tcPr>
          <w:p>
            <w:r>
              <w:t>构造做法</w:t>
            </w:r>
          </w:p>
        </w:tc>
        <w:tc>
          <w:tcPr>
            <w:gridSpan w:val="5"/>
            <w:vAlign w:val="center"/>
          </w:tcPr>
          <w:p>
            <w:r>
              <w:t>水泥砂浆L 20mm＋承重空心砖墙L 240mm＋空气间层L 20mm＋坚壳珍珠岩L 60mm＋白灰砂浆L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522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通过经验公式计算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分频隔声量</w:t>
            </w:r>
          </w:p>
        </w:tc>
        <w:tc>
          <w:tcPr>
            <w:vAlign w:val="center"/>
          </w:tcPr>
          <w:p>
            <w:r>
              <w:t>44.6</w:t>
            </w:r>
          </w:p>
        </w:tc>
        <w:tc>
          <w:tcPr>
            <w:vAlign w:val="center"/>
          </w:tcPr>
          <w:p>
            <w:r>
              <w:t>47.9</w:t>
            </w:r>
          </w:p>
        </w:tc>
        <w:tc>
          <w:tcPr>
            <w:vAlign w:val="center"/>
          </w:tcPr>
          <w:p>
            <w:r>
              <w:t>51.2</w:t>
            </w:r>
          </w:p>
        </w:tc>
        <w:tc>
          <w:tcPr>
            <w:vAlign w:val="center"/>
          </w:tcPr>
          <w:p>
            <w:r>
              <w:t>54.5</w:t>
            </w:r>
          </w:p>
        </w:tc>
        <w:tc>
          <w:tcPr>
            <w:vAlign w:val="center"/>
          </w:tcPr>
          <w:p>
            <w:r>
              <w:t>57.8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不利偏差</w:t>
            </w:r>
          </w:p>
        </w:tc>
        <w:tc>
          <w:tcPr>
            <w:vAlign w:val="center"/>
          </w:tcPr>
          <w:p>
            <w:r>
              <w:t>0.0</w:t>
            </w:r>
          </w:p>
        </w:tc>
        <w:tc>
          <w:tcPr>
            <w:vAlign w:val="center"/>
          </w:tcPr>
          <w:p>
            <w:r>
              <w:t>0.1</w:t>
            </w:r>
          </w:p>
        </w:tc>
        <w:tc>
          <w:tcPr>
            <w:vAlign w:val="center"/>
          </w:tcPr>
          <w:p>
            <w:r>
              <w:t>3.8</w:t>
            </w:r>
          </w:p>
        </w:tc>
        <w:tc>
          <w:tcPr>
            <w:vAlign w:val="center"/>
          </w:tcPr>
          <w:p>
            <w:r>
              <w:t>3.5</w:t>
            </w:r>
          </w:p>
        </w:tc>
        <w:tc>
          <w:tcPr>
            <w:vAlign w:val="center"/>
          </w:tcPr>
          <w:p>
            <w:r>
              <w:t>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计权隔声量</w:t>
            </w:r>
          </w:p>
        </w:tc>
        <w:tc>
          <w:tcPr>
            <w:gridSpan w:val="5"/>
            <w:vAlign w:val="center"/>
          </w:tcPr>
          <w:p>
            <w:r>
              <w:t>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频谱修正量</w:t>
            </w:r>
          </w:p>
        </w:tc>
        <w:tc>
          <w:tcPr>
            <w:gridSpan w:val="5"/>
            <w:vAlign w:val="center"/>
          </w:tcPr>
          <w:p>
            <w:r>
              <w:t>-3.0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隔声性能</w:t>
            </w:r>
          </w:p>
        </w:tc>
        <w:tc>
          <w:tcPr>
            <w:gridSpan w:val="5"/>
            <w:vAlign w:val="center"/>
          </w:tcPr>
          <w:p>
            <w:r>
              <w:t>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限值</w:t>
            </w:r>
          </w:p>
        </w:tc>
        <w:tc>
          <w:tcPr>
            <w:gridSpan w:val="5"/>
            <w:vAlign w:val="center"/>
          </w:tcPr>
          <w:p>
            <w:r>
              <w:t>低限:&gt;45,高要求:&gt;50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会展中心与噪声敏感房间之间楼板</w:t>
            </w:r>
          </w:p>
        </w:tc>
        <w:tc>
          <w:tcPr>
            <w:shd w:val="clear" w:color="auto" w:fill="E6E6E6"/>
            <w:vAlign w:val="center"/>
          </w:tcPr>
          <w:p>
            <w:r>
              <w:t>构造做法</w:t>
            </w:r>
          </w:p>
        </w:tc>
        <w:tc>
          <w:tcPr>
            <w:gridSpan w:val="5"/>
            <w:vAlign w:val="center"/>
          </w:tcPr>
          <w:p>
            <w:r>
              <w:t>水泥砂浆L 20mm＋承重空心砖墙L 240mm＋空气间层L 20mm＋坚壳珍珠岩L 60mm＋白灰砂浆L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80厚混凝土板+20厚水泥砂浆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522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《建筑声学设计手册》</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分频隔声量</w:t>
            </w:r>
          </w:p>
        </w:tc>
        <w:tc>
          <w:tcPr>
            <w:vAlign w:val="center"/>
          </w:tcPr>
          <w:p>
            <w:r>
              <w:t>74.3</w:t>
            </w:r>
          </w:p>
        </w:tc>
        <w:tc>
          <w:tcPr>
            <w:vAlign w:val="center"/>
          </w:tcPr>
          <w:p>
            <w:r>
              <w:t>82.0</w:t>
            </w:r>
          </w:p>
        </w:tc>
        <w:tc>
          <w:tcPr>
            <w:vAlign w:val="center"/>
          </w:tcPr>
          <w:p>
            <w:r>
              <w:t>85.3</w:t>
            </w:r>
          </w:p>
        </w:tc>
        <w:tc>
          <w:tcPr>
            <w:vAlign w:val="center"/>
          </w:tcPr>
          <w:p>
            <w:r>
              <w:t>87.3</w:t>
            </w:r>
          </w:p>
        </w:tc>
        <w:tc>
          <w:tcPr>
            <w:vAlign w:val="center"/>
          </w:tcPr>
          <w:p>
            <w:r>
              <w:t>83.0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不利偏差</w:t>
            </w:r>
          </w:p>
        </w:tc>
        <w:tc>
          <w:tcPr>
            <w:vAlign w:val="center"/>
          </w:tcPr>
          <w:p>
            <w:r>
              <w:t>0.0</w:t>
            </w:r>
          </w:p>
        </w:tc>
        <w:tc>
          <w:tcPr>
            <w:vAlign w:val="center"/>
          </w:tcPr>
          <w:p>
            <w:r>
              <w:t>0.0</w:t>
            </w:r>
          </w:p>
        </w:tc>
        <w:tc>
          <w:tcPr>
            <w:vAlign w:val="center"/>
          </w:tcPr>
          <w:p>
            <w:r>
              <w:t>0.7</w:t>
            </w:r>
          </w:p>
        </w:tc>
        <w:tc>
          <w:tcPr>
            <w:vAlign w:val="center"/>
          </w:tcPr>
          <w:p>
            <w:r>
              <w:t>1.7</w:t>
            </w:r>
          </w:p>
        </w:tc>
        <w:tc>
          <w:tcPr>
            <w:vAlign w:val="center"/>
          </w:tcPr>
          <w:p>
            <w:r>
              <w:t>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计权隔声量</w:t>
            </w:r>
          </w:p>
        </w:tc>
        <w:tc>
          <w:tcPr>
            <w:gridSpan w:val="5"/>
            <w:vAlign w:val="center"/>
          </w:tcPr>
          <w:p>
            <w:r>
              <w:t>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频谱修正量</w:t>
            </w:r>
          </w:p>
        </w:tc>
        <w:tc>
          <w:tcPr>
            <w:gridSpan w:val="5"/>
            <w:vAlign w:val="center"/>
          </w:tcPr>
          <w:p>
            <w:r>
              <w:t>-3.0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隔声性能</w:t>
            </w:r>
          </w:p>
        </w:tc>
        <w:tc>
          <w:tcPr>
            <w:gridSpan w:val="5"/>
            <w:vAlign w:val="center"/>
          </w:tcPr>
          <w:p>
            <w:r>
              <w:t>83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限值</w:t>
            </w:r>
          </w:p>
        </w:tc>
        <w:tc>
          <w:tcPr>
            <w:gridSpan w:val="5"/>
            <w:vAlign w:val="center"/>
          </w:tcPr>
          <w:p>
            <w:r>
              <w:t>低限:&gt;45,高要求:&gt;50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结论</w:t>
            </w:r>
          </w:p>
        </w:tc>
        <w:tc>
          <w:tcPr>
            <w:gridSpan w:val="5"/>
            <w:vAlign w:val="center"/>
          </w:tcPr>
          <w:p>
            <w:r>
              <w:t>满足高要求</w:t>
            </w:r>
          </w:p>
        </w:tc>
      </w:tr>
    </w:tbl>
    <w:p>
      <w:pPr>
        <w:pStyle w:val="13"/>
        <w:ind w:firstLine="420" w:firstLineChars="0"/>
        <w:jc w:val="left"/>
        <w:rPr>
          <w:rFonts w:ascii="宋体" w:hAnsi="宋体" w:eastAsia="宋体"/>
          <w:kern w:val="0"/>
          <w:sz w:val="21"/>
          <w:szCs w:val="21"/>
        </w:rPr>
      </w:pPr>
      <w:bookmarkStart w:id="45" w:name="墙板空气声隔声量"/>
      <w:bookmarkEnd w:id="45"/>
    </w:p>
    <w:p>
      <w:pPr>
        <w:pStyle w:val="3"/>
        <w:rPr>
          <w:lang w:val="en-US"/>
        </w:rPr>
      </w:pPr>
    </w:p>
    <w:p>
      <w:pPr>
        <w:pStyle w:val="4"/>
      </w:pPr>
      <w:bookmarkStart w:id="46" w:name="_Toc10743"/>
      <w:r>
        <w:rPr>
          <w:rFonts w:hint="eastAsia"/>
        </w:rPr>
        <w:t>门窗的空气声隔声量</w:t>
      </w:r>
      <w:bookmarkEnd w:id="46"/>
    </w:p>
    <w:p>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pPr>
        <w:jc w:val="right"/>
        <w:rPr>
          <w:lang w:val="en-US"/>
        </w:rPr>
      </w:pPr>
      <w:r>
        <w:rPr>
          <w:rFonts w:hint="eastAsia"/>
          <w:lang w:val="en-US"/>
        </w:rPr>
        <w:t>表5.</w:t>
      </w:r>
      <w:r>
        <w:rPr>
          <w:lang w:val="en-US"/>
        </w:rPr>
        <w:t xml:space="preserve">3 </w:t>
      </w:r>
      <w:r>
        <w:rPr>
          <w:rFonts w:hint="eastAsia"/>
          <w:lang w:val="en-US"/>
        </w:rPr>
        <w:t>门窗空气声隔声性能计算详表</w:t>
      </w:r>
      <w:r>
        <w:rPr>
          <w:lang w:val="en-US"/>
        </w:rPr>
        <w:t xml:space="preserve">                            </w:t>
      </w:r>
      <w:r>
        <w:rPr>
          <w:rFonts w:hint="eastAsia"/>
          <w:lang w:val="en-US"/>
        </w:rPr>
        <w:t>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1975"/>
        <w:gridCol w:w="1131"/>
        <w:gridCol w:w="1131"/>
        <w:gridCol w:w="1131"/>
        <w:gridCol w:w="1131"/>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构件</w:t>
            </w:r>
          </w:p>
        </w:tc>
        <w:tc>
          <w:tcPr>
            <w:gridSpan w:val="6"/>
            <w:shd w:val="clear" w:color="auto" w:fill="E6E6E6"/>
            <w:vAlign w:val="center"/>
          </w:tcPr>
          <w:p>
            <w:pPr>
              <w:jc w:val="center"/>
            </w:pPr>
            <w:r>
              <w:t>计算过程参数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户门</w:t>
            </w:r>
          </w:p>
        </w:tc>
        <w:tc>
          <w:tcPr>
            <w:vAlign w:val="center"/>
          </w:tcPr>
          <w:p>
            <w:r>
              <w:t>构造名称</w:t>
            </w:r>
          </w:p>
        </w:tc>
        <w:tc>
          <w:tcPr>
            <w:gridSpan w:val="5"/>
            <w:vAlign w:val="center"/>
          </w:tcPr>
          <w:p>
            <w:r>
              <w:t>单层实体门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参照构造</w:t>
            </w:r>
          </w:p>
        </w:tc>
        <w:tc>
          <w:tcPr>
            <w:gridSpan w:val="5"/>
            <w:vAlign w:val="center"/>
          </w:tcPr>
          <w:p>
            <w:r>
              <w:t>钢木</w:t>
            </w:r>
            <w:r>
              <w:br w:type="textWrapping"/>
            </w:r>
            <w:r>
              <w:t>70厚钢木门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r>
              <w:t>《建筑吸声材料与隔声材料》钟祥璋编著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38.0</w:t>
            </w:r>
          </w:p>
        </w:tc>
        <w:tc>
          <w:tcPr>
            <w:vAlign w:val="center"/>
          </w:tcPr>
          <w:p>
            <w:r>
              <w:t>40.0</w:t>
            </w:r>
          </w:p>
        </w:tc>
        <w:tc>
          <w:tcPr>
            <w:vAlign w:val="center"/>
          </w:tcPr>
          <w:p>
            <w:r>
              <w:t>41.0</w:t>
            </w:r>
          </w:p>
        </w:tc>
        <w:tc>
          <w:tcPr>
            <w:vAlign w:val="center"/>
          </w:tcPr>
          <w:p>
            <w:r>
              <w:t>45.0</w:t>
            </w:r>
          </w:p>
        </w:tc>
        <w:tc>
          <w:tcPr>
            <w:vAlign w:val="center"/>
          </w:tcPr>
          <w:p>
            <w:r>
              <w:t>50.0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0.0</w:t>
            </w:r>
          </w:p>
        </w:tc>
        <w:tc>
          <w:tcPr>
            <w:vAlign w:val="center"/>
          </w:tcPr>
          <w:p>
            <w:r>
              <w:t>0.0</w:t>
            </w:r>
          </w:p>
        </w:tc>
        <w:tc>
          <w:tcPr>
            <w:vAlign w:val="center"/>
          </w:tcPr>
          <w:p>
            <w:r>
              <w:t>5.0</w:t>
            </w:r>
          </w:p>
        </w:tc>
        <w:tc>
          <w:tcPr>
            <w:vAlign w:val="center"/>
          </w:tcPr>
          <w:p>
            <w:r>
              <w:t>4.0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46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低限:≥25,高要求:≥30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产生噪声房间的门1</w:t>
            </w:r>
          </w:p>
        </w:tc>
        <w:tc>
          <w:tcPr>
            <w:vAlign w:val="center"/>
          </w:tcPr>
          <w:p>
            <w:r>
              <w:t>构造名称</w:t>
            </w:r>
          </w:p>
        </w:tc>
        <w:tc>
          <w:tcPr>
            <w:gridSpan w:val="5"/>
            <w:vAlign w:val="center"/>
          </w:tcPr>
          <w:p>
            <w:r>
              <w:t>内门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参照构造</w:t>
            </w:r>
          </w:p>
        </w:tc>
        <w:tc>
          <w:tcPr>
            <w:gridSpan w:val="5"/>
            <w:vAlign w:val="center"/>
          </w:tcPr>
          <w:p>
            <w:r>
              <w:t>钢木</w:t>
            </w:r>
            <w:r>
              <w:br w:type="textWrapping"/>
            </w:r>
            <w:r>
              <w:t>65厚钢木门  三夹板+0.5钢板+矿棉+三夹板+1.0钢板+矿棉+0.5钢板+三夹板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r>
              <w:t>《建筑吸声材料与隔声材料》钟祥璋编著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22.0</w:t>
            </w:r>
          </w:p>
        </w:tc>
        <w:tc>
          <w:tcPr>
            <w:vAlign w:val="center"/>
          </w:tcPr>
          <w:p>
            <w:r>
              <w:t>34.0</w:t>
            </w:r>
          </w:p>
        </w:tc>
        <w:tc>
          <w:tcPr>
            <w:vAlign w:val="center"/>
          </w:tcPr>
          <w:p>
            <w:r>
              <w:t>36.0</w:t>
            </w:r>
          </w:p>
        </w:tc>
        <w:tc>
          <w:tcPr>
            <w:vAlign w:val="center"/>
          </w:tcPr>
          <w:p>
            <w:r>
              <w:t>39.0</w:t>
            </w:r>
          </w:p>
        </w:tc>
        <w:tc>
          <w:tcPr>
            <w:vAlign w:val="center"/>
          </w:tcPr>
          <w:p>
            <w:r>
              <w:t>42.0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1.0</w:t>
            </w:r>
          </w:p>
        </w:tc>
        <w:tc>
          <w:tcPr>
            <w:vAlign w:val="center"/>
          </w:tcPr>
          <w:p>
            <w:r>
              <w:t>0.0</w:t>
            </w:r>
          </w:p>
        </w:tc>
        <w:tc>
          <w:tcPr>
            <w:vAlign w:val="center"/>
          </w:tcPr>
          <w:p>
            <w:r>
              <w:t>3.0</w:t>
            </w:r>
          </w:p>
        </w:tc>
        <w:tc>
          <w:tcPr>
            <w:vAlign w:val="center"/>
          </w:tcPr>
          <w:p>
            <w:r>
              <w:t>3.0</w:t>
            </w:r>
          </w:p>
        </w:tc>
        <w:tc>
          <w:tcPr>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38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低限:≥25,高要求:≥30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产生噪声房间的门2</w:t>
            </w:r>
          </w:p>
        </w:tc>
        <w:tc>
          <w:tcPr>
            <w:vAlign w:val="center"/>
          </w:tcPr>
          <w:p>
            <w:r>
              <w:t>构造名称</w:t>
            </w:r>
          </w:p>
        </w:tc>
        <w:tc>
          <w:tcPr>
            <w:gridSpan w:val="5"/>
            <w:vAlign w:val="center"/>
          </w:tcPr>
          <w:p>
            <w:r>
              <w:t>金属三防门(挤塑型聚苯乙烯泡沫板)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参照构造</w:t>
            </w:r>
          </w:p>
        </w:tc>
        <w:tc>
          <w:tcPr>
            <w:gridSpan w:val="5"/>
            <w:vAlign w:val="center"/>
          </w:tcPr>
          <w:p>
            <w:r>
              <w:t>平开钢质隔声门</w:t>
            </w:r>
            <w:r>
              <w:br w:type="textWrapping"/>
            </w:r>
            <w:r>
              <w:t>门扇由1.5厚钢板、隔音材料构成，门扇厚70，框扇间密封两道管形胶条、一道磁封条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r>
              <w:t>检测数据</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32.0</w:t>
            </w:r>
          </w:p>
        </w:tc>
        <w:tc>
          <w:tcPr>
            <w:vAlign w:val="center"/>
          </w:tcPr>
          <w:p>
            <w:r>
              <w:t>40.0</w:t>
            </w:r>
          </w:p>
        </w:tc>
        <w:tc>
          <w:tcPr>
            <w:vAlign w:val="center"/>
          </w:tcPr>
          <w:p>
            <w:r>
              <w:t>47.0</w:t>
            </w:r>
          </w:p>
        </w:tc>
        <w:tc>
          <w:tcPr>
            <w:vAlign w:val="center"/>
          </w:tcPr>
          <w:p>
            <w:r>
              <w:t>50.0</w:t>
            </w:r>
          </w:p>
        </w:tc>
        <w:tc>
          <w:tcPr>
            <w:vAlign w:val="center"/>
          </w:tcPr>
          <w:p>
            <w:r>
              <w:t>55.0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1.0</w:t>
            </w:r>
          </w:p>
        </w:tc>
        <w:tc>
          <w:tcPr>
            <w:vAlign w:val="center"/>
          </w:tcPr>
          <w:p>
            <w:r>
              <w:t>2.0</w:t>
            </w:r>
          </w:p>
        </w:tc>
        <w:tc>
          <w:tcPr>
            <w:vAlign w:val="center"/>
          </w:tcPr>
          <w:p>
            <w:r>
              <w:t>2.0</w:t>
            </w:r>
          </w:p>
        </w:tc>
        <w:tc>
          <w:tcPr>
            <w:vAlign w:val="center"/>
          </w:tcPr>
          <w:p>
            <w:r>
              <w:t>2.0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低限:≥25,高要求:≥30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满足高要求</w:t>
            </w:r>
          </w:p>
        </w:tc>
      </w:tr>
    </w:tbl>
    <w:p>
      <w:pPr>
        <w:pStyle w:val="13"/>
        <w:ind w:firstLine="420" w:firstLineChars="0"/>
        <w:jc w:val="left"/>
        <w:rPr>
          <w:rFonts w:ascii="宋体" w:hAnsi="宋体" w:eastAsia="宋体"/>
          <w:kern w:val="0"/>
          <w:sz w:val="21"/>
          <w:szCs w:val="21"/>
        </w:rPr>
      </w:pPr>
      <w:bookmarkStart w:id="47" w:name="门窗空气声隔声量"/>
      <w:bookmarkEnd w:id="47"/>
    </w:p>
    <w:p>
      <w:pPr>
        <w:pStyle w:val="2"/>
        <w:ind w:left="669" w:hanging="669"/>
      </w:pPr>
      <w:bookmarkStart w:id="48" w:name="_Toc13949"/>
      <w:r>
        <w:rPr>
          <w:rFonts w:hint="eastAsia"/>
        </w:rPr>
        <w:t>楼板撞击声隔声性能</w:t>
      </w:r>
      <w:bookmarkEnd w:id="48"/>
    </w:p>
    <w:p>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pPr>
        <w:spacing w:before="156" w:beforeLines="50" w:line="400" w:lineRule="exact"/>
        <w:ind w:firstLine="420"/>
        <w:rPr>
          <w:sz w:val="21"/>
          <w:szCs w:val="21"/>
          <w:lang w:val="en-US"/>
        </w:rPr>
      </w:pPr>
      <w:r>
        <w:rPr>
          <w:rFonts w:hint="eastAsia"/>
          <w:sz w:val="21"/>
          <w:szCs w:val="21"/>
          <w:lang w:val="en-US"/>
        </w:rPr>
        <w:t>本报告参照相近楼板构造的撞击声声计权隔声量，依据《民用建筑隔声设计规范》</w:t>
      </w:r>
      <w:r>
        <w:rPr>
          <w:sz w:val="21"/>
          <w:szCs w:val="21"/>
          <w:lang w:val="en-US"/>
        </w:rPr>
        <w:t>GB50118-2010</w:t>
      </w:r>
      <w:r>
        <w:rPr>
          <w:rFonts w:hint="eastAsia"/>
          <w:sz w:val="21"/>
          <w:szCs w:val="21"/>
          <w:lang w:val="en-US"/>
        </w:rPr>
        <w:t>的要求，求得计权规范化撞击声压级来评价楼板</w:t>
      </w:r>
      <w:r>
        <w:rPr>
          <w:sz w:val="21"/>
          <w:szCs w:val="21"/>
          <w:lang w:val="en-US"/>
        </w:rPr>
        <w:t>的撞击声隔声性能。</w:t>
      </w:r>
    </w:p>
    <w:p>
      <w:pPr>
        <w:jc w:val="right"/>
        <w:rPr>
          <w:lang w:val="en-US"/>
        </w:rPr>
      </w:pPr>
      <w:r>
        <w:rPr>
          <w:rFonts w:hint="eastAsia"/>
          <w:lang w:val="en-US"/>
        </w:rPr>
        <w:t>表</w:t>
      </w:r>
      <w:r>
        <w:rPr>
          <w:lang w:val="en-US"/>
        </w:rPr>
        <w:t xml:space="preserve">6.1 </w:t>
      </w:r>
      <w:r>
        <w:rPr>
          <w:rFonts w:hint="eastAsia"/>
          <w:lang w:val="en-US"/>
        </w:rPr>
        <w:t>楼板撞击声隔声性能</w:t>
      </w:r>
      <w:r>
        <w:rPr>
          <w:lang w:val="en-US"/>
        </w:rPr>
        <w:t xml:space="preserve">                                </w:t>
      </w:r>
      <w:r>
        <w:rPr>
          <w:rFonts w:hint="eastAsia"/>
          <w:lang w:val="en-US"/>
        </w:rPr>
        <w:t>单位：</w:t>
      </w:r>
      <w:r>
        <w:rPr>
          <w:lang w:val="en-US"/>
        </w:rPr>
        <w:t>dB</w:t>
      </w:r>
    </w:p>
    <w:p>
      <w:pPr>
        <w:rPr>
          <w:lang w:val="en-US"/>
        </w:rPr>
      </w:pPr>
      <w:bookmarkStart w:id="49" w:name="撞击声隔声"/>
      <w:bookmarkEnd w:id="49"/>
      <w:r>
        <w:rPr>
          <w:lang w:val="en-US"/>
        </w:rPr>
        <w:t>本工程无此项评价</w:t>
      </w:r>
    </w:p>
    <w:bookmarkEnd w:id="25"/>
    <w:p>
      <w:pPr>
        <w:pStyle w:val="2"/>
        <w:ind w:left="669" w:hanging="669"/>
        <w:rPr>
          <w:kern w:val="2"/>
        </w:rPr>
      </w:pPr>
      <w:bookmarkStart w:id="50" w:name="_Toc13392"/>
      <w:r>
        <w:rPr>
          <w:rFonts w:hint="eastAsia"/>
          <w:kern w:val="2"/>
        </w:rPr>
        <w:t>结论</w:t>
      </w:r>
      <w:bookmarkEnd w:id="50"/>
    </w:p>
    <w:p>
      <w:pPr>
        <w:pStyle w:val="3"/>
        <w:ind w:firstLine="420" w:firstLineChars="200"/>
      </w:pPr>
      <w:r>
        <w:rPr>
          <w:rFonts w:hint="eastAsia"/>
        </w:rPr>
        <w:t>根据上述计算可知，本项目围护</w:t>
      </w:r>
      <w:r>
        <w:t>结构隔声结果</w:t>
      </w:r>
      <w:r>
        <w:rPr>
          <w:rFonts w:hint="eastAsia"/>
        </w:rPr>
        <w:t>如下表所示：</w:t>
      </w:r>
    </w:p>
    <w:p>
      <w:pPr>
        <w:jc w:val="right"/>
        <w:rPr>
          <w:lang w:val="en-US"/>
        </w:rPr>
      </w:pPr>
      <w:r>
        <w:rPr>
          <w:rFonts w:hint="eastAsia"/>
          <w:lang w:val="en-US"/>
        </w:rPr>
        <w:t>表</w:t>
      </w:r>
      <w:r>
        <w:rPr>
          <w:lang w:val="en-US"/>
        </w:rPr>
        <w:t>7</w:t>
      </w:r>
      <w:r>
        <w:rPr>
          <w:rFonts w:hint="eastAsia"/>
          <w:lang w:val="en-US"/>
        </w:rPr>
        <w:t>.</w:t>
      </w:r>
      <w:r>
        <w:rPr>
          <w:lang w:val="en-US"/>
        </w:rPr>
        <w:t>1</w:t>
      </w:r>
      <w:r>
        <w:rPr>
          <w:rFonts w:hint="eastAsia"/>
          <w:lang w:val="en-US"/>
        </w:rPr>
        <w:t xml:space="preserve">构件空气声隔声性能结果统计   </w:t>
      </w:r>
      <w:r>
        <w:rPr>
          <w:lang w:val="en-US"/>
        </w:rPr>
        <w:t xml:space="preserve">                    </w:t>
      </w:r>
      <w:r>
        <w:rPr>
          <w:rFonts w:hint="eastAsia"/>
          <w:lang w:val="en-US"/>
        </w:rPr>
        <w:t>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88"/>
        <w:gridCol w:w="2546"/>
        <w:gridCol w:w="2688"/>
        <w:gridCol w:w="170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构件</w:t>
            </w:r>
          </w:p>
        </w:tc>
        <w:tc>
          <w:tcPr>
            <w:shd w:val="clear" w:color="auto" w:fill="E6E6E6"/>
            <w:vAlign w:val="center"/>
          </w:tcPr>
          <w:p>
            <w:pPr>
              <w:jc w:val="center"/>
            </w:pPr>
            <w:r>
              <w:t>单值评价量+频谱修正量</w:t>
            </w:r>
          </w:p>
        </w:tc>
        <w:tc>
          <w:tcPr>
            <w:shd w:val="clear" w:color="auto" w:fill="E6E6E6"/>
            <w:vAlign w:val="center"/>
          </w:tcPr>
          <w:p>
            <w:pPr>
              <w:jc w:val="center"/>
            </w:pPr>
            <w:r>
              <w:t>标准限值</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会展中心与噪声敏感房间之间隔墙</w:t>
            </w:r>
          </w:p>
        </w:tc>
        <w:tc>
          <w:tcPr>
            <w:vAlign w:val="center"/>
          </w:tcPr>
          <w:p>
            <w:r>
              <w:rPr>
                <w:b/>
                <w:color w:val="FF0000"/>
              </w:rPr>
              <w:t>41</w:t>
            </w:r>
          </w:p>
        </w:tc>
        <w:tc>
          <w:tcPr>
            <w:vAlign w:val="center"/>
          </w:tcPr>
          <w:p>
            <w:r>
              <w:t>低限:&gt;45,高要求:&gt;50</w:t>
            </w:r>
          </w:p>
        </w:tc>
        <w:tc>
          <w:tcPr>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会展中心与噪声敏感房间之间楼板</w:t>
            </w:r>
          </w:p>
        </w:tc>
        <w:tc>
          <w:tcPr>
            <w:vAlign w:val="center"/>
          </w:tcPr>
          <w:p>
            <w:r>
              <w:rPr>
                <w:b/>
              </w:rPr>
              <w:t>83</w:t>
            </w:r>
          </w:p>
        </w:tc>
        <w:tc>
          <w:tcPr>
            <w:vAlign w:val="center"/>
          </w:tcPr>
          <w:p>
            <w:r>
              <w:t>低限:&gt;45,高要求:&gt;50</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户门</w:t>
            </w:r>
          </w:p>
        </w:tc>
        <w:tc>
          <w:tcPr>
            <w:vAlign w:val="center"/>
          </w:tcPr>
          <w:p>
            <w:r>
              <w:rPr>
                <w:b/>
              </w:rPr>
              <w:t>45</w:t>
            </w:r>
          </w:p>
        </w:tc>
        <w:tc>
          <w:tcPr>
            <w:vAlign w:val="center"/>
          </w:tcPr>
          <w:p>
            <w:r>
              <w:t>低限:≥25,高要求:≥30</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产生噪声房间的门</w:t>
            </w:r>
          </w:p>
        </w:tc>
        <w:tc>
          <w:tcPr>
            <w:vAlign w:val="center"/>
          </w:tcPr>
          <w:p>
            <w:r>
              <w:rPr>
                <w:b/>
              </w:rPr>
              <w:t>38</w:t>
            </w:r>
          </w:p>
        </w:tc>
        <w:tc>
          <w:tcPr>
            <w:vAlign w:val="center"/>
          </w:tcPr>
          <w:p>
            <w:r>
              <w:t>低限:≥25,高要求:≥30</w:t>
            </w:r>
          </w:p>
        </w:tc>
        <w:tc>
          <w:tcPr>
            <w:vAlign w:val="center"/>
          </w:tcPr>
          <w:p>
            <w:r>
              <w:rPr>
                <w:b/>
              </w:rPr>
              <w:t>满足高要求</w:t>
            </w:r>
          </w:p>
        </w:tc>
      </w:tr>
    </w:tbl>
    <w:p>
      <w:bookmarkStart w:id="51" w:name="构件隔声性能统计"/>
      <w:bookmarkEnd w:id="51"/>
    </w:p>
    <w:p>
      <w:pPr>
        <w:jc w:val="right"/>
        <w:rPr>
          <w:lang w:val="en-US"/>
        </w:rPr>
      </w:pPr>
      <w:r>
        <w:rPr>
          <w:rFonts w:hint="eastAsia"/>
          <w:lang w:val="en-US"/>
        </w:rPr>
        <w:t>表</w:t>
      </w:r>
      <w:r>
        <w:rPr>
          <w:lang w:val="en-US"/>
        </w:rPr>
        <w:t>7.2</w:t>
      </w:r>
      <w:r>
        <w:rPr>
          <w:rFonts w:hint="eastAsia"/>
          <w:lang w:val="en-US"/>
        </w:rPr>
        <w:t>楼板撞击声</w:t>
      </w:r>
      <w:r>
        <w:rPr>
          <w:lang w:val="en-US"/>
        </w:rPr>
        <w:t>隔声性能统计</w:t>
      </w:r>
      <w:r>
        <w:rPr>
          <w:rFonts w:hint="eastAsia"/>
          <w:lang w:val="en-US"/>
        </w:rPr>
        <w:t xml:space="preserve">     </w:t>
      </w:r>
      <w:r>
        <w:rPr>
          <w:lang w:val="en-US"/>
        </w:rPr>
        <w:t xml:space="preserve">        </w:t>
      </w:r>
      <w:r>
        <w:rPr>
          <w:rFonts w:hint="eastAsia"/>
          <w:lang w:val="en-US"/>
        </w:rPr>
        <w:t xml:space="preserve">              单位：</w:t>
      </w:r>
      <w:r>
        <w:rPr>
          <w:lang w:val="en-US"/>
        </w:rPr>
        <w:t>dB</w:t>
      </w:r>
    </w:p>
    <w:p>
      <w:bookmarkStart w:id="52" w:name="撞击声隔声性能统计"/>
      <w:bookmarkEnd w:id="52"/>
      <w:r>
        <w:t>本工程无此项评价</w:t>
      </w:r>
    </w:p>
    <w:p>
      <w:pPr>
        <w:pStyle w:val="13"/>
        <w:spacing w:line="360" w:lineRule="auto"/>
        <w:ind w:firstLine="0" w:firstLineChars="0"/>
        <w:rPr>
          <w:rFonts w:ascii="宋体" w:hAnsi="宋体" w:eastAsia="宋体"/>
          <w:sz w:val="21"/>
          <w:szCs w:val="21"/>
        </w:rPr>
      </w:pPr>
    </w:p>
    <w:p>
      <w:pPr>
        <w:pStyle w:val="3"/>
      </w:pPr>
      <w:r>
        <w:rPr>
          <w:rFonts w:hint="eastAsia" w:ascii="宋体" w:hAnsi="宋体"/>
        </w:rPr>
        <w:t xml:space="preserve">    综上，根据《绿色建筑评</w:t>
      </w:r>
      <w:r>
        <w:t>价标准》GB/T50378-2019和《民用建筑隔声设计规范》GB50118-</w:t>
      </w:r>
    </w:p>
    <w:p>
      <w:pPr>
        <w:pStyle w:val="3"/>
        <w:rPr>
          <w:rFonts w:ascii="宋体" w:hAnsi="宋体"/>
        </w:rPr>
      </w:pPr>
      <w:r>
        <w:t>2010评价要求，可</w:t>
      </w:r>
      <w:r>
        <w:rPr>
          <w:rFonts w:hint="eastAsia" w:ascii="宋体" w:hAnsi="宋体"/>
        </w:rPr>
        <w:t>得围护结构隔声评价结果及得分情况如下表：</w:t>
      </w:r>
    </w:p>
    <w:p>
      <w:pPr>
        <w:jc w:val="right"/>
        <w:rPr>
          <w:lang w:val="en-US"/>
        </w:rPr>
      </w:pPr>
      <w:r>
        <w:rPr>
          <w:rFonts w:hint="eastAsia"/>
          <w:lang w:val="en-US"/>
        </w:rPr>
        <w:t>表</w:t>
      </w:r>
      <w:r>
        <w:rPr>
          <w:lang w:val="en-US"/>
        </w:rPr>
        <w:t>7.3</w:t>
      </w:r>
      <w:r>
        <w:rPr>
          <w:rFonts w:hint="eastAsia"/>
          <w:lang w:val="en-US"/>
        </w:rPr>
        <w:t xml:space="preserve"> 围护结构隔声性能评价结果      </w:t>
      </w:r>
      <w:r>
        <w:rPr>
          <w:lang w:val="en-US"/>
        </w:rPr>
        <w:t xml:space="preserve">       </w:t>
      </w:r>
      <w:r>
        <w:rPr>
          <w:rFonts w:hint="eastAsia"/>
          <w:lang w:val="en-US"/>
        </w:rPr>
        <w:t xml:space="preserve">          单位：</w:t>
      </w:r>
      <w:r>
        <w:rPr>
          <w:lang w:val="en-US"/>
        </w:rPr>
        <w:t>dB</w:t>
      </w:r>
    </w:p>
    <w:tbl>
      <w:tblPr>
        <w:tblStyle w:val="21"/>
        <w:tblpPr w:leftFromText="180" w:rightFromText="180" w:vertAnchor="text" w:horzAnchor="margin" w:tblpY="194"/>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8"/>
        <w:gridCol w:w="5897"/>
        <w:gridCol w:w="1381"/>
        <w:gridCol w:w="73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318" w:type="dxa"/>
            <w:shd w:val="clear" w:color="auto" w:fill="E6E6E6"/>
            <w:vAlign w:val="center"/>
          </w:tcPr>
          <w:p>
            <w:pPr>
              <w:jc w:val="center"/>
              <w:rPr>
                <w:b/>
              </w:rPr>
            </w:pPr>
            <w:r>
              <w:rPr>
                <w:b/>
              </w:rPr>
              <w:t>检查项</w:t>
            </w:r>
          </w:p>
        </w:tc>
        <w:tc>
          <w:tcPr>
            <w:tcW w:w="5897" w:type="dxa"/>
            <w:shd w:val="clear" w:color="auto" w:fill="E6E6E6"/>
          </w:tcPr>
          <w:p>
            <w:pPr>
              <w:jc w:val="center"/>
              <w:rPr>
                <w:b/>
              </w:rPr>
            </w:pPr>
            <w:r>
              <w:rPr>
                <w:rFonts w:hint="eastAsia"/>
                <w:b/>
              </w:rPr>
              <w:t>评价</w:t>
            </w:r>
            <w:r>
              <w:rPr>
                <w:b/>
              </w:rPr>
              <w:t>依据</w:t>
            </w:r>
          </w:p>
        </w:tc>
        <w:tc>
          <w:tcPr>
            <w:tcW w:w="1381" w:type="dxa"/>
            <w:shd w:val="clear" w:color="auto" w:fill="E6E6E6"/>
            <w:vAlign w:val="center"/>
          </w:tcPr>
          <w:p>
            <w:pPr>
              <w:jc w:val="center"/>
              <w:rPr>
                <w:b/>
              </w:rPr>
            </w:pPr>
            <w:r>
              <w:rPr>
                <w:b/>
              </w:rPr>
              <w:t>结论</w:t>
            </w:r>
          </w:p>
        </w:tc>
        <w:tc>
          <w:tcPr>
            <w:tcW w:w="737" w:type="dxa"/>
            <w:shd w:val="clear" w:color="auto" w:fill="E6E6E6"/>
            <w:vAlign w:val="center"/>
          </w:tcPr>
          <w:p>
            <w:pPr>
              <w:jc w:val="center"/>
              <w:rPr>
                <w:b/>
              </w:rPr>
            </w:pPr>
            <w:r>
              <w:rPr>
                <w:b/>
              </w:rP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318" w:type="dxa"/>
            <w:vMerge w:val="restart"/>
            <w:shd w:val="clear" w:color="auto" w:fill="E6E6E6"/>
            <w:vAlign w:val="center"/>
          </w:tcPr>
          <w:p>
            <w:pPr>
              <w:pStyle w:val="3"/>
              <w:jc w:val="center"/>
              <w:rPr>
                <w:sz w:val="18"/>
                <w:szCs w:val="18"/>
              </w:rPr>
            </w:pPr>
            <w:r>
              <w:rPr>
                <w:rFonts w:hint="eastAsia"/>
                <w:sz w:val="18"/>
                <w:szCs w:val="18"/>
              </w:rPr>
              <w:t>空气声隔声</w:t>
            </w:r>
          </w:p>
        </w:tc>
        <w:tc>
          <w:tcPr>
            <w:tcW w:w="5897" w:type="dxa"/>
          </w:tcPr>
          <w:p>
            <w:pPr>
              <w:pStyle w:val="3"/>
              <w:rPr>
                <w:sz w:val="18"/>
                <w:szCs w:val="18"/>
              </w:rPr>
            </w:pPr>
            <w:r>
              <w:rPr>
                <w:rFonts w:hint="eastAsia"/>
                <w:sz w:val="18"/>
                <w:szCs w:val="18"/>
              </w:rPr>
              <w:t>控制项</w:t>
            </w:r>
            <w:r>
              <w:rPr>
                <w:sz w:val="18"/>
                <w:szCs w:val="18"/>
              </w:rPr>
              <w:t>：</w:t>
            </w:r>
          </w:p>
          <w:p>
            <w:pPr>
              <w:pStyle w:val="3"/>
              <w:rPr>
                <w:sz w:val="18"/>
                <w:szCs w:val="18"/>
              </w:rPr>
            </w:pPr>
            <w:r>
              <w:rPr>
                <w:sz w:val="18"/>
                <w:szCs w:val="18"/>
              </w:rPr>
              <w:t xml:space="preserve">5.1.4  </w:t>
            </w:r>
            <w:r>
              <w:rPr>
                <w:rFonts w:hint="eastAsia"/>
                <w:sz w:val="18"/>
                <w:szCs w:val="18"/>
              </w:rPr>
              <w:t>主要功能房间的外墙、隔墙、楼板和门窗的隔声性能应能满足现行国家标准《民用建筑隔声设计规范》</w:t>
            </w:r>
            <w:r>
              <w:rPr>
                <w:sz w:val="18"/>
                <w:szCs w:val="18"/>
              </w:rPr>
              <w:t>GB 50118</w:t>
            </w:r>
            <w:r>
              <w:rPr>
                <w:rFonts w:hint="eastAsia"/>
                <w:sz w:val="18"/>
                <w:szCs w:val="18"/>
              </w:rPr>
              <w:t>中低限要求。</w:t>
            </w:r>
          </w:p>
        </w:tc>
        <w:tc>
          <w:tcPr>
            <w:tcW w:w="1381" w:type="dxa"/>
            <w:vAlign w:val="center"/>
          </w:tcPr>
          <w:p>
            <w:pPr>
              <w:jc w:val="center"/>
              <w:rPr>
                <w:lang w:val="en-US"/>
              </w:rPr>
            </w:pPr>
            <w:bookmarkStart w:id="53" w:name="空气声控制项结论"/>
            <w:r>
              <w:rPr>
                <w:rFonts w:hint="eastAsia"/>
                <w:color w:val="FF0000"/>
                <w:lang w:val="en-US"/>
              </w:rPr>
              <w:t>不满足</w:t>
            </w:r>
            <w:bookmarkEnd w:id="53"/>
          </w:p>
        </w:tc>
        <w:tc>
          <w:tcPr>
            <w:tcW w:w="737" w:type="dxa"/>
            <w:vAlign w:val="center"/>
          </w:tcPr>
          <w:p>
            <w:pPr>
              <w:jc w:val="center"/>
              <w:rPr>
                <w:lang w:val="en-US"/>
              </w:rPr>
            </w:pPr>
            <w:r>
              <w:rPr>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pPr>
              <w:pStyle w:val="3"/>
              <w:jc w:val="center"/>
              <w:rPr>
                <w:sz w:val="18"/>
                <w:szCs w:val="18"/>
              </w:rPr>
            </w:pPr>
          </w:p>
        </w:tc>
        <w:tc>
          <w:tcPr>
            <w:tcW w:w="5897" w:type="dxa"/>
          </w:tcPr>
          <w:p>
            <w:pPr>
              <w:pStyle w:val="3"/>
              <w:rPr>
                <w:sz w:val="18"/>
                <w:szCs w:val="18"/>
              </w:rPr>
            </w:pPr>
            <w:r>
              <w:rPr>
                <w:rFonts w:hint="eastAsia"/>
                <w:sz w:val="18"/>
                <w:szCs w:val="18"/>
              </w:rPr>
              <w:t>评分项：</w:t>
            </w:r>
          </w:p>
          <w:p>
            <w:pPr>
              <w:pStyle w:val="3"/>
              <w:rPr>
                <w:sz w:val="18"/>
                <w:szCs w:val="18"/>
              </w:rPr>
            </w:pPr>
            <w:r>
              <w:rPr>
                <w:sz w:val="18"/>
                <w:szCs w:val="18"/>
              </w:rPr>
              <w:t xml:space="preserve">5.2.7  </w:t>
            </w:r>
            <w:r>
              <w:rPr>
                <w:rFonts w:hint="eastAsia"/>
                <w:sz w:val="18"/>
                <w:szCs w:val="18"/>
              </w:rPr>
              <w:t>构件及相邻房间之间的空气声隔声性能达到现行国家标准《民用建筑隔声设计规范》</w:t>
            </w:r>
            <w:r>
              <w:rPr>
                <w:sz w:val="18"/>
                <w:szCs w:val="18"/>
              </w:rPr>
              <w:t>GB 50118</w:t>
            </w:r>
            <w:r>
              <w:rPr>
                <w:rFonts w:hint="eastAsia"/>
                <w:sz w:val="18"/>
                <w:szCs w:val="18"/>
              </w:rPr>
              <w:t>中的低限标准限值和高要求标准限值的平均值，得3分；达到高要求标准限值，得5分。</w:t>
            </w:r>
          </w:p>
        </w:tc>
        <w:tc>
          <w:tcPr>
            <w:tcW w:w="1381" w:type="dxa"/>
            <w:vAlign w:val="center"/>
          </w:tcPr>
          <w:p>
            <w:pPr>
              <w:jc w:val="center"/>
              <w:rPr>
                <w:lang w:val="en-US"/>
              </w:rPr>
            </w:pPr>
            <w:bookmarkStart w:id="54" w:name="空气声评分项结论"/>
            <w:r>
              <w:rPr>
                <w:rFonts w:hint="eastAsia"/>
                <w:color w:val="FF0000"/>
                <w:lang w:val="en-US"/>
              </w:rPr>
              <w:t>不满足</w:t>
            </w:r>
            <w:bookmarkEnd w:id="54"/>
          </w:p>
        </w:tc>
        <w:tc>
          <w:tcPr>
            <w:tcW w:w="737" w:type="dxa"/>
            <w:vAlign w:val="center"/>
          </w:tcPr>
          <w:p>
            <w:pPr>
              <w:jc w:val="center"/>
              <w:rPr>
                <w:lang w:val="en-US"/>
              </w:rPr>
            </w:pPr>
            <w:bookmarkStart w:id="55" w:name="空气声得分"/>
            <w:r>
              <w:rPr>
                <w:rFonts w:hint="eastAsia"/>
                <w:lang w:val="en-US"/>
              </w:rPr>
              <w:t>0</w:t>
            </w:r>
            <w:bookmarkEnd w:id="55"/>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0" w:hRule="atLeast"/>
        </w:trPr>
        <w:tc>
          <w:tcPr>
            <w:tcW w:w="1318" w:type="dxa"/>
            <w:vMerge w:val="restart"/>
            <w:shd w:val="clear" w:color="auto" w:fill="E6E6E6"/>
            <w:vAlign w:val="center"/>
          </w:tcPr>
          <w:p>
            <w:pPr>
              <w:pStyle w:val="3"/>
              <w:jc w:val="center"/>
              <w:rPr>
                <w:sz w:val="18"/>
                <w:szCs w:val="18"/>
              </w:rPr>
            </w:pPr>
            <w:r>
              <w:rPr>
                <w:rFonts w:hint="eastAsia"/>
                <w:sz w:val="18"/>
                <w:szCs w:val="18"/>
              </w:rPr>
              <w:t>撞击声隔声</w:t>
            </w:r>
          </w:p>
        </w:tc>
        <w:tc>
          <w:tcPr>
            <w:tcW w:w="5897" w:type="dxa"/>
          </w:tcPr>
          <w:p>
            <w:pPr>
              <w:pStyle w:val="3"/>
              <w:rPr>
                <w:sz w:val="18"/>
                <w:szCs w:val="18"/>
              </w:rPr>
            </w:pPr>
            <w:r>
              <w:rPr>
                <w:rFonts w:hint="eastAsia"/>
                <w:sz w:val="18"/>
                <w:szCs w:val="18"/>
              </w:rPr>
              <w:t>控制项</w:t>
            </w:r>
            <w:r>
              <w:rPr>
                <w:sz w:val="18"/>
                <w:szCs w:val="18"/>
              </w:rPr>
              <w:t>：</w:t>
            </w:r>
          </w:p>
          <w:p>
            <w:pPr>
              <w:pStyle w:val="3"/>
              <w:rPr>
                <w:sz w:val="18"/>
                <w:szCs w:val="18"/>
              </w:rPr>
            </w:pPr>
            <w:r>
              <w:rPr>
                <w:sz w:val="18"/>
                <w:szCs w:val="18"/>
              </w:rPr>
              <w:t xml:space="preserve">5.1.4  </w:t>
            </w:r>
            <w:r>
              <w:rPr>
                <w:rFonts w:hint="eastAsia"/>
                <w:sz w:val="18"/>
                <w:szCs w:val="18"/>
              </w:rPr>
              <w:t>主要功能房间的外墙、隔墙、楼板和门窗的隔声性能应能满足现行国家标准《民用建筑隔声设计规范》</w:t>
            </w:r>
            <w:r>
              <w:rPr>
                <w:sz w:val="18"/>
                <w:szCs w:val="18"/>
              </w:rPr>
              <w:t>GB 50118</w:t>
            </w:r>
            <w:r>
              <w:rPr>
                <w:rFonts w:hint="eastAsia"/>
                <w:sz w:val="18"/>
                <w:szCs w:val="18"/>
              </w:rPr>
              <w:t>中低限要求。</w:t>
            </w:r>
          </w:p>
        </w:tc>
        <w:tc>
          <w:tcPr>
            <w:tcW w:w="1381" w:type="dxa"/>
            <w:vAlign w:val="center"/>
          </w:tcPr>
          <w:p>
            <w:pPr>
              <w:jc w:val="center"/>
              <w:rPr>
                <w:lang w:val="en-US"/>
              </w:rPr>
            </w:pPr>
            <w:bookmarkStart w:id="56" w:name="撞击声控制项结论"/>
            <w:r>
              <w:rPr>
                <w:rFonts w:hint="eastAsia"/>
                <w:lang w:val="en-US"/>
              </w:rPr>
              <w:t>本工程无此项评价</w:t>
            </w:r>
            <w:bookmarkEnd w:id="56"/>
          </w:p>
        </w:tc>
        <w:tc>
          <w:tcPr>
            <w:tcW w:w="737" w:type="dxa"/>
            <w:vAlign w:val="center"/>
          </w:tcPr>
          <w:p>
            <w:pPr>
              <w:jc w:val="center"/>
              <w:rPr>
                <w:lang w:val="en-US"/>
              </w:rPr>
            </w:pPr>
            <w:r>
              <w:rPr>
                <w:rFonts w:hint="eastAsia"/>
                <w:lang w:val="en-US"/>
              </w:rPr>
              <w:t>-</w:t>
            </w:r>
            <w:r>
              <w:rPr>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pPr>
              <w:pStyle w:val="3"/>
              <w:rPr>
                <w:sz w:val="18"/>
                <w:szCs w:val="18"/>
              </w:rPr>
            </w:pPr>
          </w:p>
        </w:tc>
        <w:tc>
          <w:tcPr>
            <w:tcW w:w="5897" w:type="dxa"/>
          </w:tcPr>
          <w:p>
            <w:pPr>
              <w:pStyle w:val="3"/>
              <w:rPr>
                <w:sz w:val="18"/>
                <w:szCs w:val="18"/>
              </w:rPr>
            </w:pPr>
            <w:r>
              <w:rPr>
                <w:rFonts w:hint="eastAsia"/>
                <w:sz w:val="18"/>
                <w:szCs w:val="18"/>
              </w:rPr>
              <w:t>评分项：</w:t>
            </w:r>
          </w:p>
          <w:p>
            <w:pPr>
              <w:pStyle w:val="3"/>
              <w:rPr>
                <w:sz w:val="18"/>
                <w:szCs w:val="18"/>
              </w:rPr>
            </w:pPr>
            <w:r>
              <w:rPr>
                <w:sz w:val="18"/>
                <w:szCs w:val="18"/>
              </w:rPr>
              <w:t xml:space="preserve">5.2.7  </w:t>
            </w:r>
            <w:r>
              <w:rPr>
                <w:rFonts w:hint="eastAsia"/>
                <w:sz w:val="18"/>
                <w:szCs w:val="18"/>
              </w:rPr>
              <w:t>楼板的撞击声隔声性能达到现行国家标准《民用建筑隔声设计规范》</w:t>
            </w:r>
            <w:r>
              <w:rPr>
                <w:sz w:val="18"/>
                <w:szCs w:val="18"/>
              </w:rPr>
              <w:t>GB 50118</w:t>
            </w:r>
            <w:r>
              <w:rPr>
                <w:rFonts w:hint="eastAsia"/>
                <w:sz w:val="18"/>
                <w:szCs w:val="18"/>
              </w:rPr>
              <w:t>中的低限标准限值和高要求标准限值的平均值，得3分；达到高要求标准限值，得</w:t>
            </w:r>
            <w:r>
              <w:rPr>
                <w:sz w:val="18"/>
                <w:szCs w:val="18"/>
              </w:rPr>
              <w:t>5</w:t>
            </w:r>
            <w:r>
              <w:rPr>
                <w:rFonts w:hint="eastAsia"/>
                <w:sz w:val="18"/>
                <w:szCs w:val="18"/>
              </w:rPr>
              <w:t>分。</w:t>
            </w:r>
          </w:p>
        </w:tc>
        <w:tc>
          <w:tcPr>
            <w:tcW w:w="1381" w:type="dxa"/>
            <w:vAlign w:val="center"/>
          </w:tcPr>
          <w:p>
            <w:pPr>
              <w:jc w:val="center"/>
              <w:rPr>
                <w:lang w:val="en-US"/>
              </w:rPr>
            </w:pPr>
            <w:bookmarkStart w:id="57" w:name="撞击声评分项结论"/>
            <w:r>
              <w:rPr>
                <w:rFonts w:hint="eastAsia"/>
                <w:lang w:val="en-US"/>
              </w:rPr>
              <w:t>本工程无此项评价</w:t>
            </w:r>
            <w:bookmarkEnd w:id="57"/>
          </w:p>
        </w:tc>
        <w:tc>
          <w:tcPr>
            <w:tcW w:w="737" w:type="dxa"/>
            <w:vAlign w:val="center"/>
          </w:tcPr>
          <w:p>
            <w:pPr>
              <w:jc w:val="center"/>
              <w:rPr>
                <w:lang w:val="en-US"/>
              </w:rPr>
            </w:pPr>
            <w:bookmarkStart w:id="58" w:name="撞击声得分"/>
            <w:r>
              <w:rPr>
                <w:rFonts w:hint="eastAsia"/>
                <w:lang w:val="en-US"/>
              </w:rPr>
              <w:t>--</w:t>
            </w:r>
            <w:bookmarkEnd w:id="58"/>
          </w:p>
        </w:tc>
      </w:tr>
    </w:tbl>
    <w:p>
      <w:pPr>
        <w:pStyle w:val="13"/>
        <w:spacing w:line="360" w:lineRule="auto"/>
        <w:ind w:firstLine="0" w:firstLineChars="0"/>
        <w:rPr>
          <w:rFonts w:ascii="宋体" w:hAnsi="宋体" w:eastAsia="宋体"/>
          <w:sz w:val="21"/>
          <w:szCs w:val="21"/>
          <w:lang w:val="en-GB"/>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HGB6X_CNKI">
    <w:altName w:val="宋体"/>
    <w:panose1 w:val="02000500000000000000"/>
    <w:charset w:val="86"/>
    <w:family w:val="auto"/>
    <w:pitch w:val="default"/>
    <w:sig w:usb0="00000000" w:usb1="00000000" w:usb2="00000010" w:usb3="00000000" w:csb0="00040001"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fldChar w:fldCharType="begin"/>
    </w:r>
    <w:r>
      <w:instrText xml:space="preserve"> HYPERLINK "http://www.gbsware.cn/" </w:instrText>
    </w:r>
    <w:r>
      <w:fldChar w:fldCharType="separate"/>
    </w:r>
    <w:r>
      <w:rPr>
        <w:rStyle w:val="25"/>
        <w:u w:val="none"/>
      </w:rPr>
      <w:t>http://www.gbsware.cn/</w:t>
    </w:r>
    <w:r>
      <w:rPr>
        <w:rStyle w:val="25"/>
        <w:u w:val="none"/>
      </w:rPr>
      <w:fldChar w:fldCharType="end"/>
    </w:r>
    <w:r>
      <w:ptab w:relativeTo="margin" w:alignment="center" w:leader="none"/>
    </w:r>
    <w:r>
      <w:fldChar w:fldCharType="begin"/>
    </w:r>
    <w:r>
      <w:instrText xml:space="preserve"> PAGE  \* Arabic  \* MERGEFORMAT </w:instrText>
    </w:r>
    <w:r>
      <w:fldChar w:fldCharType="separate"/>
    </w:r>
    <w:r>
      <w:t>9</w:t>
    </w:r>
    <w:r>
      <w:fldChar w:fldCharType="end"/>
    </w:r>
    <w:r>
      <w:rPr>
        <w:b/>
      </w:rPr>
      <w:t>/</w:t>
    </w:r>
    <w:r>
      <w:fldChar w:fldCharType="begin"/>
    </w:r>
    <w:r>
      <w:instrText xml:space="preserve"> NUMPAGES  \* Arabic  \* MERGEFORMAT </w:instrText>
    </w:r>
    <w:r>
      <w:fldChar w:fldCharType="separate"/>
    </w:r>
    <w:r>
      <w:t>9</w:t>
    </w:r>
    <w:r>
      <w:fldChar w:fldCharType="end"/>
    </w:r>
    <w:r>
      <w:ptab w:relativeTo="margin" w:alignment="right" w:leader="none"/>
    </w:r>
    <w:r>
      <w:t>SEDU2020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w:t>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2A3160B8"/>
    <w:multiLevelType w:val="multilevel"/>
    <w:tmpl w:val="2A3160B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6"/>
  </w:num>
  <w:num w:numId="4">
    <w:abstractNumId w:val="3"/>
  </w:num>
  <w:num w:numId="5">
    <w:abstractNumId w:val="2"/>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E172F23"/>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49E7"/>
    <w:rsid w:val="00036EC2"/>
    <w:rsid w:val="00037A4C"/>
    <w:rsid w:val="00041739"/>
    <w:rsid w:val="00042CF8"/>
    <w:rsid w:val="00043ACA"/>
    <w:rsid w:val="000462D8"/>
    <w:rsid w:val="00046771"/>
    <w:rsid w:val="00050049"/>
    <w:rsid w:val="000508B6"/>
    <w:rsid w:val="000511BF"/>
    <w:rsid w:val="00052598"/>
    <w:rsid w:val="000541C7"/>
    <w:rsid w:val="00057CDE"/>
    <w:rsid w:val="00064409"/>
    <w:rsid w:val="00071F7A"/>
    <w:rsid w:val="0007226E"/>
    <w:rsid w:val="00072403"/>
    <w:rsid w:val="00072D9C"/>
    <w:rsid w:val="000745E9"/>
    <w:rsid w:val="00074AC6"/>
    <w:rsid w:val="00081562"/>
    <w:rsid w:val="00085970"/>
    <w:rsid w:val="00085CFA"/>
    <w:rsid w:val="00085D05"/>
    <w:rsid w:val="00086233"/>
    <w:rsid w:val="0008712B"/>
    <w:rsid w:val="00090F6C"/>
    <w:rsid w:val="000948A6"/>
    <w:rsid w:val="00094F4E"/>
    <w:rsid w:val="000A0B6F"/>
    <w:rsid w:val="000B01B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37DB"/>
    <w:rsid w:val="001141D0"/>
    <w:rsid w:val="001220AD"/>
    <w:rsid w:val="00122AE1"/>
    <w:rsid w:val="0012763C"/>
    <w:rsid w:val="001276BB"/>
    <w:rsid w:val="00127705"/>
    <w:rsid w:val="00130A82"/>
    <w:rsid w:val="00131BD6"/>
    <w:rsid w:val="00132A9D"/>
    <w:rsid w:val="0014485F"/>
    <w:rsid w:val="00145801"/>
    <w:rsid w:val="0014776A"/>
    <w:rsid w:val="0015173E"/>
    <w:rsid w:val="00152849"/>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B34"/>
    <w:rsid w:val="00272D57"/>
    <w:rsid w:val="00274C79"/>
    <w:rsid w:val="00275513"/>
    <w:rsid w:val="0028108B"/>
    <w:rsid w:val="00282B46"/>
    <w:rsid w:val="0028444A"/>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119F2"/>
    <w:rsid w:val="003121F7"/>
    <w:rsid w:val="0031301C"/>
    <w:rsid w:val="00313D8E"/>
    <w:rsid w:val="00314D29"/>
    <w:rsid w:val="003171AF"/>
    <w:rsid w:val="0031760A"/>
    <w:rsid w:val="00330641"/>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62EFE"/>
    <w:rsid w:val="00464841"/>
    <w:rsid w:val="00466A5B"/>
    <w:rsid w:val="00466BC5"/>
    <w:rsid w:val="004714BC"/>
    <w:rsid w:val="0047173D"/>
    <w:rsid w:val="00472D22"/>
    <w:rsid w:val="0047643A"/>
    <w:rsid w:val="004813EC"/>
    <w:rsid w:val="00483102"/>
    <w:rsid w:val="004852CE"/>
    <w:rsid w:val="00485717"/>
    <w:rsid w:val="00485EC1"/>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3B0B"/>
    <w:rsid w:val="005F7E8D"/>
    <w:rsid w:val="00600350"/>
    <w:rsid w:val="006040BC"/>
    <w:rsid w:val="00605407"/>
    <w:rsid w:val="006111E9"/>
    <w:rsid w:val="006144A9"/>
    <w:rsid w:val="00614827"/>
    <w:rsid w:val="0062109E"/>
    <w:rsid w:val="006224F7"/>
    <w:rsid w:val="00622663"/>
    <w:rsid w:val="006230D3"/>
    <w:rsid w:val="00624893"/>
    <w:rsid w:val="00632197"/>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D18"/>
    <w:rsid w:val="00687FD0"/>
    <w:rsid w:val="006905C6"/>
    <w:rsid w:val="006907C9"/>
    <w:rsid w:val="00692C06"/>
    <w:rsid w:val="00694FCA"/>
    <w:rsid w:val="00696C27"/>
    <w:rsid w:val="006A2250"/>
    <w:rsid w:val="006A29EB"/>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4CC6"/>
    <w:rsid w:val="008A66CF"/>
    <w:rsid w:val="008A7569"/>
    <w:rsid w:val="008B05E2"/>
    <w:rsid w:val="008B45DA"/>
    <w:rsid w:val="008C567E"/>
    <w:rsid w:val="008D0B6B"/>
    <w:rsid w:val="008D4D0D"/>
    <w:rsid w:val="008D50C0"/>
    <w:rsid w:val="008D5EA5"/>
    <w:rsid w:val="008D6D2D"/>
    <w:rsid w:val="008D7D9D"/>
    <w:rsid w:val="008E2303"/>
    <w:rsid w:val="008E2650"/>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B8B"/>
    <w:rsid w:val="009E524E"/>
    <w:rsid w:val="009E7331"/>
    <w:rsid w:val="009F4C20"/>
    <w:rsid w:val="009F678A"/>
    <w:rsid w:val="00A054E2"/>
    <w:rsid w:val="00A07273"/>
    <w:rsid w:val="00A0756F"/>
    <w:rsid w:val="00A12AF6"/>
    <w:rsid w:val="00A13254"/>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407A"/>
    <w:rsid w:val="00B05232"/>
    <w:rsid w:val="00B076F1"/>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416"/>
    <w:rsid w:val="00B51047"/>
    <w:rsid w:val="00B53BDD"/>
    <w:rsid w:val="00B54CCA"/>
    <w:rsid w:val="00B55B22"/>
    <w:rsid w:val="00B55C1D"/>
    <w:rsid w:val="00B57E67"/>
    <w:rsid w:val="00B60841"/>
    <w:rsid w:val="00B61333"/>
    <w:rsid w:val="00B63B82"/>
    <w:rsid w:val="00B64D5B"/>
    <w:rsid w:val="00B703A9"/>
    <w:rsid w:val="00B71BC7"/>
    <w:rsid w:val="00B72C76"/>
    <w:rsid w:val="00B76637"/>
    <w:rsid w:val="00B76F6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74C9"/>
    <w:rsid w:val="00C0242F"/>
    <w:rsid w:val="00C06FB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5819"/>
    <w:rsid w:val="00C60D5A"/>
    <w:rsid w:val="00C61F08"/>
    <w:rsid w:val="00C63237"/>
    <w:rsid w:val="00C67778"/>
    <w:rsid w:val="00C7287B"/>
    <w:rsid w:val="00C732DD"/>
    <w:rsid w:val="00C740F7"/>
    <w:rsid w:val="00C762AC"/>
    <w:rsid w:val="00C77B6E"/>
    <w:rsid w:val="00C80797"/>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B54F3"/>
    <w:rsid w:val="00CB5E85"/>
    <w:rsid w:val="00CC032C"/>
    <w:rsid w:val="00CC1E6E"/>
    <w:rsid w:val="00CC2131"/>
    <w:rsid w:val="00CC730F"/>
    <w:rsid w:val="00CD38B3"/>
    <w:rsid w:val="00CD5A75"/>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28EC"/>
    <w:rsid w:val="00D840D3"/>
    <w:rsid w:val="00D868CD"/>
    <w:rsid w:val="00D871F5"/>
    <w:rsid w:val="00D92753"/>
    <w:rsid w:val="00D93D1B"/>
    <w:rsid w:val="00D955A0"/>
    <w:rsid w:val="00D956E0"/>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CE3"/>
    <w:rsid w:val="00E0178D"/>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2A3C"/>
    <w:rsid w:val="00E74009"/>
    <w:rsid w:val="00E74259"/>
    <w:rsid w:val="00E75D9F"/>
    <w:rsid w:val="00E80B6B"/>
    <w:rsid w:val="00E81ACD"/>
    <w:rsid w:val="00E85407"/>
    <w:rsid w:val="00E85ED3"/>
    <w:rsid w:val="00E922BE"/>
    <w:rsid w:val="00E93215"/>
    <w:rsid w:val="00E96021"/>
    <w:rsid w:val="00EA17C7"/>
    <w:rsid w:val="00EA3EF5"/>
    <w:rsid w:val="00EB1249"/>
    <w:rsid w:val="00EB24A4"/>
    <w:rsid w:val="00EB6224"/>
    <w:rsid w:val="00EB654F"/>
    <w:rsid w:val="00EB7DB6"/>
    <w:rsid w:val="00EC0382"/>
    <w:rsid w:val="00EC1B9A"/>
    <w:rsid w:val="00EC4F99"/>
    <w:rsid w:val="00EC66B6"/>
    <w:rsid w:val="00ED6759"/>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951"/>
    <w:rsid w:val="00F43C89"/>
    <w:rsid w:val="00F47D29"/>
    <w:rsid w:val="00F54441"/>
    <w:rsid w:val="00F54FD8"/>
    <w:rsid w:val="00F571C8"/>
    <w:rsid w:val="00F57EDD"/>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4B87"/>
    <w:rsid w:val="00FA6522"/>
    <w:rsid w:val="00FB178D"/>
    <w:rsid w:val="00FB2AE0"/>
    <w:rsid w:val="00FB2F34"/>
    <w:rsid w:val="00FB4088"/>
    <w:rsid w:val="00FB4264"/>
    <w:rsid w:val="00FC08B8"/>
    <w:rsid w:val="00FC178C"/>
    <w:rsid w:val="00FC4B65"/>
    <w:rsid w:val="00FC5550"/>
    <w:rsid w:val="00FD0EF4"/>
    <w:rsid w:val="00FD4C04"/>
    <w:rsid w:val="00FD636D"/>
    <w:rsid w:val="00FD77E0"/>
    <w:rsid w:val="00FE1638"/>
    <w:rsid w:val="00FE53F1"/>
    <w:rsid w:val="00FF2243"/>
    <w:rsid w:val="1E172F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unhideWhenUsed="0" w:uiPriority="0" w:name="toc 2"/>
    <w:lsdException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6"/>
    <w:qFormat/>
    <w:uiPriority w:val="0"/>
    <w:pPr>
      <w:widowControl w:val="0"/>
      <w:spacing w:line="400" w:lineRule="exact"/>
      <w:ind w:firstLine="480" w:firstLineChars="200"/>
      <w:jc w:val="both"/>
    </w:pPr>
    <w:rPr>
      <w:kern w:val="2"/>
      <w:sz w:val="24"/>
      <w:szCs w:val="24"/>
      <w:lang w:val="en-US"/>
    </w:rPr>
  </w:style>
  <w:style w:type="paragraph" w:styleId="14">
    <w:name w:val="toc 3"/>
    <w:basedOn w:val="1"/>
    <w:next w:val="1"/>
    <w:semiHidden/>
    <w:uiPriority w:val="0"/>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qFormat/>
    <w:uiPriority w:val="0"/>
  </w:style>
  <w:style w:type="paragraph" w:styleId="16">
    <w:name w:val="footer"/>
    <w:basedOn w:val="1"/>
    <w:qFormat/>
    <w:uiPriority w:val="0"/>
    <w:pPr>
      <w:tabs>
        <w:tab w:val="center" w:pos="4153"/>
        <w:tab w:val="right" w:pos="8306"/>
      </w:tabs>
    </w:pPr>
  </w:style>
  <w:style w:type="paragraph" w:styleId="17">
    <w:name w:val="header"/>
    <w:basedOn w:val="1"/>
    <w:uiPriority w:val="0"/>
    <w:pPr>
      <w:pBdr>
        <w:bottom w:val="single" w:color="auto" w:sz="6" w:space="1"/>
      </w:pBdr>
      <w:tabs>
        <w:tab w:val="center" w:pos="4153"/>
        <w:tab w:val="right" w:pos="8306"/>
      </w:tabs>
      <w:jc w:val="center"/>
    </w:pPr>
  </w:style>
  <w:style w:type="paragraph" w:styleId="18">
    <w:name w:val="toc 1"/>
    <w:basedOn w:val="1"/>
    <w:next w:val="1"/>
    <w:semiHidden/>
    <w:uiPriority w:val="0"/>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semiHidden/>
    <w:uiPriority w:val="0"/>
    <w:pPr>
      <w:tabs>
        <w:tab w:val="left" w:pos="540"/>
        <w:tab w:val="right" w:leader="dot" w:pos="9360"/>
      </w:tabs>
      <w:ind w:left="200"/>
    </w:pPr>
    <w:rPr>
      <w:kern w:val="2"/>
      <w:szCs w:val="24"/>
      <w:lang w:val="en-US"/>
    </w:rPr>
  </w:style>
  <w:style w:type="table" w:styleId="22">
    <w:name w:val="Table Grid"/>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page number"/>
    <w:basedOn w:val="23"/>
    <w:qFormat/>
    <w:uiPriority w:val="0"/>
  </w:style>
  <w:style w:type="character" w:styleId="25">
    <w:name w:val="Hyperlink"/>
    <w:uiPriority w:val="0"/>
    <w:rPr>
      <w:color w:val="0000FF"/>
      <w:u w:val="single"/>
    </w:rPr>
  </w:style>
  <w:style w:type="character" w:customStyle="1" w:styleId="26">
    <w:name w:val="正文文本缩进 Char2"/>
    <w:link w:val="13"/>
    <w:qFormat/>
    <w:uiPriority w:val="0"/>
    <w:rPr>
      <w:rFonts w:ascii="微软雅黑" w:hAnsi="微软雅黑" w:eastAsia="微软雅黑"/>
      <w:kern w:val="2"/>
      <w:sz w:val="24"/>
      <w:szCs w:val="24"/>
    </w:rPr>
  </w:style>
  <w:style w:type="character" w:customStyle="1" w:styleId="27">
    <w:name w:val="正文文本缩进 Char1"/>
    <w:qFormat/>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qFormat/>
    <w:uiPriority w:val="0"/>
    <w:rPr>
      <w:rFonts w:ascii="微软雅黑" w:hAnsi="微软雅黑" w:eastAsia="微软雅黑"/>
      <w:kern w:val="2"/>
      <w:sz w:val="24"/>
      <w:szCs w:val="24"/>
    </w:rPr>
  </w:style>
  <w:style w:type="character" w:customStyle="1" w:styleId="30">
    <w:name w:val="标题 2 Char"/>
    <w:link w:val="4"/>
    <w:qFormat/>
    <w:uiPriority w:val="0"/>
    <w:rPr>
      <w:rFonts w:ascii="微软雅黑" w:hAnsi="微软雅黑" w:eastAsia="微软雅黑" w:cs="微软雅黑"/>
      <w:b/>
      <w:bCs/>
      <w:iCs/>
      <w:color w:val="000000"/>
      <w:sz w:val="24"/>
      <w:szCs w:val="24"/>
    </w:rPr>
  </w:style>
  <w:style w:type="character" w:customStyle="1" w:styleId="31">
    <w:name w:val="标题 1 Char"/>
    <w:link w:val="2"/>
    <w:qFormat/>
    <w:uiPriority w:val="0"/>
    <w:rPr>
      <w:rFonts w:ascii="微软雅黑" w:hAnsi="微软雅黑" w:eastAsia="微软雅黑" w:cs="微软雅黑"/>
      <w:b/>
      <w:bCs/>
      <w:kern w:val="32"/>
      <w:sz w:val="28"/>
      <w:szCs w:val="28"/>
    </w:rPr>
  </w:style>
  <w:style w:type="character" w:customStyle="1" w:styleId="32">
    <w:name w:val="副标题 Char"/>
    <w:basedOn w:val="23"/>
    <w:link w:val="19"/>
    <w:qFormat/>
    <w:uiPriority w:val="11"/>
    <w:rPr>
      <w:rFonts w:asciiTheme="majorHAnsi" w:hAnsiTheme="majorHAnsi" w:eastAsiaTheme="majorEastAsia" w:cstheme="majorBidi"/>
      <w:i/>
      <w:iCs/>
      <w:spacing w:val="13"/>
      <w:sz w:val="24"/>
      <w:szCs w:val="24"/>
      <w:lang w:val="en-GB"/>
    </w:rPr>
  </w:style>
  <w:style w:type="paragraph" w:customStyle="1" w:styleId="33">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5">
    <w:name w:val="标题 7 Char"/>
    <w:basedOn w:val="23"/>
    <w:link w:val="9"/>
    <w:qFormat/>
    <w:uiPriority w:val="0"/>
    <w:rPr>
      <w:sz w:val="24"/>
      <w:szCs w:val="24"/>
      <w:lang w:val="en-GB"/>
    </w:rPr>
  </w:style>
  <w:style w:type="character" w:customStyle="1" w:styleId="36">
    <w:name w:val="批注框文本 Char"/>
    <w:basedOn w:val="23"/>
    <w:link w:val="15"/>
    <w:semiHidden/>
    <w:qFormat/>
    <w:uiPriority w:val="0"/>
    <w:rPr>
      <w:sz w:val="18"/>
      <w:szCs w:val="18"/>
      <w:lang w:val="en-GB"/>
    </w:rPr>
  </w:style>
  <w:style w:type="character" w:customStyle="1" w:styleId="37">
    <w:name w:val="条文 Char"/>
    <w:link w:val="38"/>
    <w:qFormat/>
    <w:uiPriority w:val="99"/>
    <w:rPr>
      <w:sz w:val="24"/>
    </w:rPr>
  </w:style>
  <w:style w:type="paragraph" w:customStyle="1" w:styleId="38">
    <w:name w:val="条文"/>
    <w:basedOn w:val="1"/>
    <w:link w:val="37"/>
    <w:qFormat/>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qFormat/>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qFormat/>
    <w:locked/>
    <w:uiPriority w:val="0"/>
    <w:rPr>
      <w:rFonts w:cs="宋体"/>
      <w:kern w:val="2"/>
      <w:sz w:val="21"/>
      <w:szCs w:val="18"/>
    </w:rPr>
  </w:style>
  <w:style w:type="character" w:styleId="41">
    <w:name w:val="Placeholder Text"/>
    <w:basedOn w:val="23"/>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2" Type="http://schemas.openxmlformats.org/officeDocument/2006/relationships/fontTable" Target="fontTable.xml"/><Relationship Id="rId31" Type="http://schemas.openxmlformats.org/officeDocument/2006/relationships/customXml" Target="../customXml/item1.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image" Target="media/image17.png"/><Relationship Id="rId28" Type="http://schemas.openxmlformats.org/officeDocument/2006/relationships/oleObject" Target="embeddings/oleObject7.bin"/><Relationship Id="rId27" Type="http://schemas.openxmlformats.org/officeDocument/2006/relationships/oleObject" Target="embeddings/oleObject6.bin"/><Relationship Id="rId26" Type="http://schemas.openxmlformats.org/officeDocument/2006/relationships/image" Target="media/image16.png"/><Relationship Id="rId25" Type="http://schemas.openxmlformats.org/officeDocument/2006/relationships/image" Target="media/image15.png"/><Relationship Id="rId24" Type="http://schemas.openxmlformats.org/officeDocument/2006/relationships/image" Target="media/image14.wmf"/><Relationship Id="rId23" Type="http://schemas.openxmlformats.org/officeDocument/2006/relationships/oleObject" Target="embeddings/oleObject5.bin"/><Relationship Id="rId22" Type="http://schemas.openxmlformats.org/officeDocument/2006/relationships/image" Target="media/image13.wmf"/><Relationship Id="rId21" Type="http://schemas.openxmlformats.org/officeDocument/2006/relationships/oleObject" Target="embeddings/oleObject4.bin"/><Relationship Id="rId20" Type="http://schemas.openxmlformats.org/officeDocument/2006/relationships/image" Target="media/image12.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wmf"/><Relationship Id="rId12" Type="http://schemas.openxmlformats.org/officeDocument/2006/relationships/oleObject" Target="embeddings/oleObject2.bin"/><Relationship Id="rId11" Type="http://schemas.openxmlformats.org/officeDocument/2006/relationships/image" Target="media/image5.png"/><Relationship Id="rId10" Type="http://schemas.openxmlformats.org/officeDocument/2006/relationships/image" Target="media/image4.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ENLI~1\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CDCA8-CD2E-4A83-981C-60EFC70ECD17}">
  <ds:schemaRefs/>
</ds:datastoreItem>
</file>

<file path=docProps/app.xml><?xml version="1.0" encoding="utf-8"?>
<Properties xmlns="http://schemas.openxmlformats.org/officeDocument/2006/extended-properties" xmlns:vt="http://schemas.openxmlformats.org/officeDocument/2006/docPropsVTypes">
  <Template>tmp3.dotx</Template>
  <Pages>12</Pages>
  <Words>5225</Words>
  <Characters>6409</Characters>
  <Lines>40</Lines>
  <Paragraphs>11</Paragraphs>
  <TotalTime>7</TotalTime>
  <ScaleCrop>false</ScaleCrop>
  <LinksUpToDate>false</LinksUpToDate>
  <CharactersWithSpaces>6850</CharactersWithSpaces>
  <Application>WPS Office_11.1.0.11551_F1E327BC-269C-435d-A152-05C5408002CA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2022-03-10T09:21:00Z</dcterms:created>
  <dc:creator>城</dc:creator>
  <cp:lastModifiedBy>城</cp:lastModifiedBy>
  <dcterms:modified xsi:type="dcterms:W3CDTF">2022-03-10T09:29:03Z</dcterms:modified>
  <dc:title>建筑构件隔声设计报告书</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C66D6C1D71524633838E69EC3B46C26C</vt:lpwstr>
  </property>
  <property fmtid="{D5CDD505-2E9C-101B-9397-08002B2CF9AE}" pid="3" name="KSOProductBuildVer">
    <vt:lpwstr>2052-11.1.0.11551</vt:lpwstr>
  </property>
</Properties>
</file>