
<file path=[Content_Types].xml><?xml version="1.0" encoding="utf-8"?>
<Types xmlns="http://schemas.openxmlformats.org/package/2006/content-types">
  <Default Extension="xml" ContentType="application/xml"/>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r>
              <w:t>工业博物馆</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1" w:name="工程地点"/>
            <w:r>
              <w:rPr>
                <w:rFonts w:hint="eastAsia" w:ascii="宋体" w:hAnsi="宋体"/>
                <w:sz w:val="21"/>
                <w:szCs w:val="21"/>
              </w:rPr>
              <w:t>沈阳</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5" w:name="设计日期"/>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绿建斯维尔</w:t>
            </w:r>
            <w:bookmarkStart w:id="7" w:name="采用软件"/>
            <w:r>
              <w:rPr>
                <w:rFonts w:hint="eastAsia" w:ascii="宋体" w:hAnsi="宋体"/>
              </w:rPr>
              <w:t>建筑通风Vent2020</w:t>
            </w:r>
            <w:bookmarkEnd w:id="7"/>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20200606</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T13897938950</w:t>
            </w:r>
            <w:bookmarkEnd w:id="9"/>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2" w:name="工程名称2"/>
            <w:r>
              <w:t>工业博物馆</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沈阳</w:t>
            </w:r>
            <w:bookmarkEnd w:id="13"/>
          </w:p>
        </w:tc>
      </w:tr>
    </w:tbl>
    <w:p>
      <w:pPr>
        <w:pStyle w:val="3"/>
        <w:ind w:firstLine="420"/>
      </w:pPr>
      <w:bookmarkStart w:id="14" w:name="项目概况"/>
      <w:bookmarkEnd w:id="14"/>
      <w:bookmarkStart w:id="15" w:name="_Toc420309361"/>
      <w:bookmarkStart w:id="16" w:name="_Toc420663549"/>
    </w:p>
    <w:p>
      <w:pPr>
        <w:pStyle w:val="2"/>
      </w:pPr>
      <w:bookmarkStart w:id="17" w:name="TitleFormat"/>
      <w:r>
        <w:rPr>
          <w:rFonts w:hint="eastAsia"/>
        </w:rPr>
        <w:t>计算依据</w:t>
      </w:r>
      <w:bookmarkEnd w:id="15"/>
      <w:bookmarkEnd w:id="16"/>
    </w:p>
    <w:bookmarkEnd w:id="17"/>
    <w:p>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1. 《绿色建筑评价标准》GB/T50378</w:t>
      </w:r>
      <w:r>
        <w:rPr>
          <w:rFonts w:hint="eastAsia"/>
          <w:lang w:val="en-US"/>
        </w:rPr>
        <w:t>—</w:t>
      </w:r>
      <w:r>
        <w:rPr>
          <w:kern w:val="2"/>
          <w:sz w:val="21"/>
          <w:szCs w:val="24"/>
          <w:lang w:val="en-US"/>
        </w:rPr>
        <w:t>2019</w:t>
      </w:r>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r>
        <w:t>工业博物馆</w:t>
      </w:r>
      <w:bookmarkEnd w:id="19"/>
      <w:r>
        <w:rPr>
          <w:rFonts w:hint="eastAsia"/>
          <w:kern w:val="2"/>
          <w:sz w:val="21"/>
          <w:szCs w:val="24"/>
          <w:lang w:val="en-US"/>
        </w:rPr>
        <w:t>相关建筑图纸</w:t>
      </w:r>
    </w:p>
    <w:p>
      <w:pPr>
        <w:pStyle w:val="2"/>
        <w:rPr>
          <w:kern w:val="2"/>
        </w:rPr>
      </w:pPr>
      <w:bookmarkStart w:id="20" w:name="_Toc420663550"/>
      <w:r>
        <w:rPr>
          <w:rFonts w:hint="eastAsia"/>
          <w:kern w:val="2"/>
        </w:rPr>
        <w:t>参考</w:t>
      </w:r>
      <w:r>
        <w:rPr>
          <w:kern w:val="2"/>
        </w:rPr>
        <w:t>标准</w:t>
      </w:r>
      <w:bookmarkEnd w:id="20"/>
    </w:p>
    <w:p>
      <w:pPr>
        <w:pStyle w:val="3"/>
        <w:ind w:firstLine="420"/>
        <w:rPr>
          <w:kern w:val="2"/>
          <w:szCs w:val="24"/>
          <w:lang w:val="en-US"/>
        </w:rPr>
      </w:pPr>
      <w:bookmarkStart w:id="21" w:name="_Toc420663551"/>
      <w:r>
        <w:rPr>
          <w:rFonts w:hint="eastAsia"/>
          <w:kern w:val="2"/>
          <w:szCs w:val="24"/>
          <w:lang w:val="en-US"/>
        </w:rPr>
        <w:t>《绿色建筑评价标准》GB/T50378</w:t>
      </w:r>
      <w:r>
        <w:rPr>
          <w:rFonts w:hint="eastAsia"/>
          <w:lang w:val="en-US"/>
        </w:rPr>
        <w:t>—</w:t>
      </w:r>
      <w:r>
        <w:rPr>
          <w:kern w:val="2"/>
          <w:szCs w:val="24"/>
          <w:lang w:val="en-US"/>
        </w:rPr>
        <w:t>2019</w:t>
      </w:r>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2" w:name="OLE_LINK4"/>
      <w:bookmarkStart w:id="23" w:name="OLE_LINK3"/>
      <w:r>
        <w:rPr>
          <w:rFonts w:hint="eastAsia" w:ascii="Arial" w:hAnsi="Arial" w:eastAsia="黑体" w:cs="Arial"/>
          <w:kern w:val="2"/>
          <w:sz w:val="20"/>
          <w:szCs w:val="18"/>
          <w:lang w:val="en-US"/>
        </w:rPr>
        <w:t>表1 公共建筑过渡季节典型工况下主要功能房间自然通风评分规则</w:t>
      </w:r>
    </w:p>
    <w:bookmarkEnd w:id="22"/>
    <w:bookmarkEnd w:id="23"/>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1"/>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4"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5" w:name="面积分子"/>
            <w:r>
              <w:rPr>
                <w:rFonts w:hint="eastAsia"/>
                <w:kern w:val="2"/>
                <w:sz w:val="21"/>
                <w:szCs w:val="24"/>
                <w:lang w:val="en-US"/>
              </w:rPr>
              <w:t>3455.53</w:t>
            </w:r>
            <w:bookmarkEnd w:id="25"/>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6" w:name="面积分母"/>
            <w:r>
              <w:rPr>
                <w:rFonts w:hint="eastAsia"/>
                <w:kern w:val="2"/>
                <w:sz w:val="21"/>
                <w:szCs w:val="24"/>
                <w:lang w:val="en-US"/>
              </w:rPr>
              <w:t>4101.75</w:t>
            </w:r>
            <w:bookmarkEnd w:id="26"/>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比"/>
            <w:r>
              <w:rPr>
                <w:rFonts w:hint="eastAsia"/>
                <w:kern w:val="2"/>
                <w:sz w:val="21"/>
                <w:szCs w:val="24"/>
                <w:lang w:val="en-US"/>
              </w:rPr>
              <w:t>84.25</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4"/>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28" w:name="房间表"/>
            <w:r>
              <w:rPr>
                <w:rFonts w:hint="eastAsia" w:ascii="宋体" w:hAnsi="宋体" w:cs="宋体"/>
                <w:color w:val="000000"/>
                <w:szCs w:val="18"/>
                <w:lang w:val="en-US"/>
              </w:rPr>
              <w:t>分类</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139.85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1020[办公-普通办公室]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151.61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50.54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33.15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79.47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26.49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1026[办公-普通办公室]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84.89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28.30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582.17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194.06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1007[办公-普通办公室]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567.90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189.30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1025[办公-普通办公室]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85.55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1034[办公-普通办公室]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26.54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1027[办公-普通办公室]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82.67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27.56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1031[办公-普通办公室]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76.23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25.41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1030[办公-普通办公室]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26.46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292.79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100.35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79.79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1028[办公-普通办公室]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81.88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136.87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135.72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45.24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16.97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411.24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401.66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1043[办公-普通办公室]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958.63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319.54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1005[办公-普通办公室]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948.39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1035[办公-普通办公室]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51.45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1038[办公-普通办公室]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8.24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1016[空房间]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79.63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958.63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319.54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2006[办公-普通办公室]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587.66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195.89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2011[办公-普通办公室]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394.16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131.39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19.60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2036[办公-普通办公室]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180.61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2678.31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892.77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2001[办公-普通办公室]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2555.52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851.84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16.99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2023[空房间]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127.74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14.44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2015[空房间]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79.63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2017[办公-普通办公室]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235.03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78.34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2021[办公-普通办公室]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135.75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2041[办公-普通办公室]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958.63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319.54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3009[办公-普通办公室]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143.08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3010[办公-普通办公室]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592.19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136.93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25.16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3019[办公-普通办公室]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207.59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51.53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22.82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3037[办公-普通办公室]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2195.94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731.98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3003[办公-普通办公室]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1772.08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590.69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54.25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3014[办公-普通办公室]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100.35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3024[空房间]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127.74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13.06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3042[办公-普通办公室]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3018[空房间]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179.95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3032[办公-普通办公室]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70.44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313.28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104.43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4012[办公-普通办公室]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306.23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48.60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28"/>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29" w:name="工程名称5"/>
      <w:bookmarkEnd w:id="29"/>
      <w:bookmarkStart w:id="30" w:name="总结论"/>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2" w:name="面积比2"/>
      <w:r>
        <w:rPr>
          <w:rFonts w:hint="eastAsia"/>
          <w:kern w:val="2"/>
          <w:szCs w:val="24"/>
          <w:lang w:val="en-US"/>
        </w:rPr>
        <w:t>84.25</w:t>
      </w:r>
      <w:bookmarkEnd w:id="32"/>
      <w:r>
        <w:rPr>
          <w:kern w:val="2"/>
          <w:szCs w:val="24"/>
          <w:lang w:val="en-US"/>
        </w:rPr>
        <w:t>%</w:t>
      </w:r>
      <w:r>
        <w:rPr>
          <w:rFonts w:hint="eastAsia"/>
          <w:kern w:val="2"/>
          <w:szCs w:val="24"/>
          <w:lang w:val="en-US"/>
        </w:rPr>
        <w:t>，</w:t>
      </w:r>
      <w:bookmarkEnd w:id="30"/>
      <w:r>
        <w:rPr>
          <w:rFonts w:hint="eastAsia"/>
          <w:kern w:val="2"/>
          <w:szCs w:val="24"/>
          <w:lang w:val="en-US"/>
        </w:rPr>
        <w:t>按照绿标5.2.10条款</w:t>
      </w:r>
      <w:r>
        <w:rPr>
          <w:kern w:val="2"/>
          <w:szCs w:val="24"/>
          <w:lang w:val="en-US"/>
        </w:rPr>
        <w:t>要求得</w:t>
      </w:r>
      <w:bookmarkStart w:id="33" w:name="得分"/>
      <w:r>
        <w:rPr>
          <w:rFonts w:hint="eastAsia"/>
          <w:kern w:val="2"/>
          <w:szCs w:val="24"/>
          <w:lang w:val="en-US"/>
        </w:rPr>
        <w:t>6</w:t>
      </w:r>
      <w:bookmarkEnd w:id="33"/>
      <w:r>
        <w:rPr>
          <w:rFonts w:hint="eastAsia"/>
          <w:kern w:val="2"/>
          <w:szCs w:val="24"/>
          <w:lang w:val="en-US"/>
        </w:rPr>
        <w:t>分。</w:t>
      </w:r>
    </w:p>
    <w:p>
      <w:pPr>
        <w:rPr>
          <w:lang w:val="en-US"/>
        </w:rPr>
      </w:pPr>
    </w:p>
    <w:p>
      <w:pPr>
        <w:rPr>
          <w:lang w:val="en-US"/>
        </w:rPr>
      </w:pPr>
      <w:bookmarkStart w:id="34" w:name="_GoBack"/>
      <w:bookmarkEnd w:id="34"/>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36D71"/>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 w:val="6BC3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single"/>
    </w:rPr>
  </w:style>
  <w:style w:type="character" w:customStyle="1" w:styleId="20">
    <w:name w:val="标题 1 Char"/>
    <w:link w:val="2"/>
    <w:uiPriority w:val="0"/>
    <w:rPr>
      <w:rFonts w:ascii="Times New Roman" w:hAnsi="Times New Roman" w:eastAsia="宋体" w:cs="Times New Roman"/>
      <w:b/>
      <w:bCs/>
      <w:kern w:val="32"/>
      <w:sz w:val="28"/>
      <w:szCs w:val="28"/>
    </w:rPr>
  </w:style>
  <w:style w:type="character" w:customStyle="1" w:styleId="21">
    <w:name w:val="标题 2 Char"/>
    <w:link w:val="4"/>
    <w:uiPriority w:val="0"/>
    <w:rPr>
      <w:rFonts w:ascii="宋体" w:hAnsi="Times New Roman" w:eastAsia="宋体" w:cs="Arial"/>
      <w:b/>
      <w:bCs/>
      <w:iCs/>
      <w:color w:val="000000"/>
      <w:kern w:val="0"/>
      <w:sz w:val="24"/>
      <w:szCs w:val="24"/>
    </w:rPr>
  </w:style>
  <w:style w:type="character" w:customStyle="1" w:styleId="22">
    <w:name w:val="标题 3 Char"/>
    <w:link w:val="5"/>
    <w:uiPriority w:val="0"/>
    <w:rPr>
      <w:rFonts w:ascii="宋体" w:hAnsi="宋体" w:eastAsia="宋体" w:cs="Arial"/>
      <w:b/>
      <w:bCs/>
      <w:kern w:val="0"/>
      <w:szCs w:val="21"/>
    </w:rPr>
  </w:style>
  <w:style w:type="character" w:customStyle="1" w:styleId="23">
    <w:name w:val="标题 4 Char"/>
    <w:link w:val="6"/>
    <w:uiPriority w:val="0"/>
    <w:rPr>
      <w:rFonts w:ascii="Times New Roman" w:hAnsi="Times New Roman" w:eastAsia="宋体" w:cs="Times New Roman"/>
      <w:b/>
      <w:bCs/>
      <w:kern w:val="0"/>
      <w:szCs w:val="28"/>
      <w:lang w:val="en-GB"/>
    </w:rPr>
  </w:style>
  <w:style w:type="character" w:customStyle="1" w:styleId="24">
    <w:name w:val="标题 5 Char"/>
    <w:link w:val="7"/>
    <w:uiPriority w:val="0"/>
    <w:rPr>
      <w:rFonts w:ascii="Times New Roman" w:hAnsi="Times New Roman" w:eastAsia="宋体" w:cs="Times New Roman"/>
      <w:b/>
      <w:bCs/>
      <w:iCs/>
      <w:kern w:val="0"/>
      <w:szCs w:val="26"/>
      <w:lang w:val="en-GB"/>
    </w:rPr>
  </w:style>
  <w:style w:type="character" w:customStyle="1" w:styleId="25">
    <w:name w:val="标题 6 Char"/>
    <w:link w:val="8"/>
    <w:uiPriority w:val="0"/>
    <w:rPr>
      <w:rFonts w:ascii="Times New Roman" w:hAnsi="Times New Roman" w:eastAsia="宋体" w:cs="Times New Roman"/>
      <w:b/>
      <w:bCs/>
      <w:kern w:val="0"/>
      <w:lang w:val="en-GB"/>
    </w:rPr>
  </w:style>
  <w:style w:type="character" w:customStyle="1" w:styleId="26">
    <w:name w:val="标题 7 Char"/>
    <w:link w:val="9"/>
    <w:uiPriority w:val="0"/>
    <w:rPr>
      <w:rFonts w:ascii="Times New Roman" w:hAnsi="Times New Roman" w:eastAsia="宋体" w:cs="Times New Roman"/>
      <w:kern w:val="0"/>
      <w:sz w:val="24"/>
      <w:szCs w:val="24"/>
      <w:lang w:val="en-GB"/>
    </w:rPr>
  </w:style>
  <w:style w:type="character" w:customStyle="1" w:styleId="27">
    <w:name w:val="标题 8 Char"/>
    <w:link w:val="10"/>
    <w:uiPriority w:val="0"/>
    <w:rPr>
      <w:rFonts w:ascii="Times New Roman" w:hAnsi="Times New Roman" w:eastAsia="宋体" w:cs="Times New Roman"/>
      <w:i/>
      <w:iCs/>
      <w:kern w:val="0"/>
      <w:sz w:val="24"/>
      <w:szCs w:val="24"/>
      <w:lang w:val="en-GB"/>
    </w:rPr>
  </w:style>
  <w:style w:type="character" w:customStyle="1" w:styleId="28">
    <w:name w:val="标题 9 Char"/>
    <w:link w:val="11"/>
    <w:uiPriority w:val="0"/>
    <w:rPr>
      <w:rFonts w:ascii="Arial" w:hAnsi="Arial" w:eastAsia="宋体" w:cs="Arial"/>
      <w:kern w:val="0"/>
      <w:sz w:val="22"/>
      <w:lang w:val="en-GB"/>
    </w:rPr>
  </w:style>
  <w:style w:type="character" w:customStyle="1" w:styleId="29">
    <w:name w:val="页眉 Char"/>
    <w:link w:val="14"/>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LI~1\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datastoreItem>
</file>

<file path=docProps/app.xml><?xml version="1.0" encoding="utf-8"?>
<Properties xmlns="http://schemas.openxmlformats.org/officeDocument/2006/extended-properties" xmlns:vt="http://schemas.openxmlformats.org/officeDocument/2006/docPropsVTypes">
  <Template>tmp14.dotx</Template>
  <Pages>4</Pages>
  <Words>1301</Words>
  <Characters>2274</Characters>
  <Lines>51</Lines>
  <Paragraphs>53</Paragraphs>
  <TotalTime>15</TotalTime>
  <ScaleCrop>false</ScaleCrop>
  <LinksUpToDate>false</LinksUpToDate>
  <CharactersWithSpaces>2357</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2022-03-10T13:29:00Z</dcterms:created>
  <dc:creator>城</dc:creator>
  <cp:lastModifiedBy>城</cp:lastModifiedBy>
  <dcterms:modified xsi:type="dcterms:W3CDTF">2022-03-10T13:30:58Z</dcterms:modified>
  <dc:title>公共建筑换气次数计算书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D7890BEFE37B4A388913A976DAF15353</vt:lpwstr>
  </property>
  <property fmtid="{D5CDD505-2E9C-101B-9397-08002B2CF9AE}" pid="3" name="KSOProductBuildVer">
    <vt:lpwstr>2052-11.1.0.11551</vt:lpwstr>
  </property>
</Properties>
</file>