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wmf" ContentType="image/x-wmf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0" w:name="项目名称＃1"/>
      <w:r>
        <w:rPr>
          <w:rFonts w:hint="eastAsia" w:ascii="黑体" w:hAnsi="宋体" w:eastAsia="黑体"/>
          <w:b/>
          <w:bCs/>
          <w:sz w:val="72"/>
          <w:szCs w:val="72"/>
        </w:rPr>
        <w:t>工业博物馆</w:t>
      </w:r>
    </w:p>
    <w:p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r>
        <w:rPr>
          <w:rFonts w:hint="eastAsia" w:ascii="宋体" w:hAnsi="宋体"/>
          <w:bCs/>
          <w:sz w:val="44"/>
          <w:szCs w:val="44"/>
          <w:lang w:val="en-US"/>
        </w:rPr>
        <w:t>冷负荷计算书</w:t>
      </w: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工业博物馆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3" w:name="建设单位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设计单位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 算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报告日期"/>
            <w:r>
              <w:rPr>
                <w:rFonts w:hint="eastAsia" w:ascii="宋体" w:hAnsi="宋体"/>
                <w:szCs w:val="21"/>
              </w:rPr>
              <w:t>2021年12月21日</w:t>
            </w:r>
          </w:p>
        </w:tc>
      </w:tr>
    </w:tbl>
    <w:p>
      <w:pPr>
        <w:jc w:val="center"/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6" w:name="二维码"/>
      <w:r>
        <w:drawing>
          <wp:inline distT="0" distB="0" distL="0" distR="0">
            <wp:extent cx="1514475" cy="151447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hint="eastAsia" w:ascii="宋体" w:hAnsi="宋体"/>
              </w:rPr>
              <w:t>斯维尔暖通负荷BECH2020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rPr>
                <w:rFonts w:hint="eastAsia" w:ascii="宋体" w:hAnsi="宋体"/>
                <w:szCs w:val="18"/>
              </w:rPr>
              <w:t>20200606(SP1)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rPr>
                <w:rFonts w:hint="eastAsia" w:ascii="宋体" w:hAnsi="宋体"/>
                <w:szCs w:val="18"/>
              </w:rPr>
              <w:t>T13897938950</w:t>
            </w:r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bookmarkStart w:id="123" w:name="_GoBack"/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bookmarkStart w:id="10" w:name="目录"/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_Toc3250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szCs w:val="24"/>
          <w:lang w:val="en-US"/>
        </w:rPr>
        <w:t xml:space="preserve">1 </w:t>
      </w:r>
      <w:r>
        <w:rPr>
          <w:szCs w:val="24"/>
          <w:lang w:val="en-US"/>
        </w:rPr>
        <w:t>建筑概况</w:t>
      </w:r>
      <w:r>
        <w:tab/>
      </w:r>
      <w:r>
        <w:fldChar w:fldCharType="begin"/>
      </w:r>
      <w:r>
        <w:instrText xml:space="preserve"> PAGEREF _Toc3250 \h </w:instrText>
      </w:r>
      <w:r>
        <w:fldChar w:fldCharType="separate"/>
      </w:r>
      <w:r>
        <w:t>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_Toc25489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1.1 </w:t>
      </w:r>
      <w:r>
        <w:rPr>
          <w:szCs w:val="24"/>
          <w:lang w:val="en-US"/>
        </w:rPr>
        <w:t>概况</w:t>
      </w:r>
      <w:r>
        <w:tab/>
      </w:r>
      <w:r>
        <w:fldChar w:fldCharType="begin"/>
      </w:r>
      <w:r>
        <w:instrText xml:space="preserve"> PAGEREF _Toc25489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_Toc3668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1.2 </w:t>
      </w:r>
      <w:r>
        <w:rPr>
          <w:szCs w:val="24"/>
          <w:lang w:val="en-US"/>
        </w:rPr>
        <w:t>室外温湿度</w:t>
      </w:r>
      <w:r>
        <w:tab/>
      </w:r>
      <w:r>
        <w:fldChar w:fldCharType="begin"/>
      </w:r>
      <w:r>
        <w:instrText xml:space="preserve"> PAGEREF _Toc3668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_Toc20056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1.3 </w:t>
      </w:r>
      <w:r>
        <w:rPr>
          <w:szCs w:val="24"/>
          <w:lang w:val="en-US"/>
        </w:rPr>
        <w:t>太阳辐射照度</w:t>
      </w:r>
      <w:r>
        <w:tab/>
      </w:r>
      <w:r>
        <w:fldChar w:fldCharType="begin"/>
      </w:r>
      <w:r>
        <w:instrText xml:space="preserve"> PAGEREF _Toc20056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_Toc8723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1.4 </w:t>
      </w:r>
      <w:r>
        <w:rPr>
          <w:szCs w:val="24"/>
          <w:lang w:val="en-US"/>
        </w:rPr>
        <w:t>其他气象参数</w:t>
      </w:r>
      <w:r>
        <w:tab/>
      </w:r>
      <w:r>
        <w:fldChar w:fldCharType="begin"/>
      </w:r>
      <w:r>
        <w:instrText xml:space="preserve"> PAGEREF _Toc8723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_Toc11644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2 </w:t>
      </w:r>
      <w:r>
        <w:rPr>
          <w:szCs w:val="24"/>
          <w:lang w:val="en-US"/>
        </w:rPr>
        <w:t>计算依据</w:t>
      </w:r>
      <w:r>
        <w:tab/>
      </w:r>
      <w:r>
        <w:fldChar w:fldCharType="begin"/>
      </w:r>
      <w:r>
        <w:instrText xml:space="preserve"> PAGEREF _Toc11644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_Toc29093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3 </w:t>
      </w:r>
      <w:r>
        <w:rPr>
          <w:szCs w:val="24"/>
          <w:lang w:val="en-US"/>
        </w:rPr>
        <w:t>计算原理</w:t>
      </w:r>
      <w:r>
        <w:tab/>
      </w:r>
      <w:r>
        <w:fldChar w:fldCharType="begin"/>
      </w:r>
      <w:r>
        <w:instrText xml:space="preserve"> PAGEREF _Toc29093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_Toc17259 </w:instrText>
      </w:r>
      <w:r>
        <w:fldChar w:fldCharType="separate"/>
      </w:r>
      <w:r>
        <w:rPr>
          <w:rFonts w:hint="eastAsia"/>
          <w:lang w:val="en-GB"/>
        </w:rPr>
        <w:t xml:space="preserve">3.1 </w:t>
      </w:r>
      <w:r>
        <w:rPr>
          <w:rFonts w:hint="eastAsia"/>
        </w:rPr>
        <w:t>外窗的日射得热冷负荷</w:t>
      </w:r>
      <w:r>
        <w:tab/>
      </w:r>
      <w:r>
        <w:fldChar w:fldCharType="begin"/>
      </w:r>
      <w:r>
        <w:instrText xml:space="preserve"> PAGEREF _Toc17259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_Toc16139 </w:instrText>
      </w:r>
      <w:r>
        <w:fldChar w:fldCharType="separate"/>
      </w:r>
      <w:r>
        <w:rPr>
          <w:rFonts w:hint="eastAsia"/>
          <w:lang w:val="en-GB"/>
        </w:rPr>
        <w:t xml:space="preserve">3.2 </w:t>
      </w:r>
      <w:r>
        <w:rPr>
          <w:rFonts w:hint="eastAsia"/>
        </w:rPr>
        <w:t>外窗传热的冷负荷</w:t>
      </w:r>
      <w:r>
        <w:tab/>
      </w:r>
      <w:r>
        <w:fldChar w:fldCharType="begin"/>
      </w:r>
      <w:r>
        <w:instrText xml:space="preserve"> PAGEREF _Toc16139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_Toc22084 </w:instrText>
      </w:r>
      <w:r>
        <w:fldChar w:fldCharType="separate"/>
      </w:r>
      <w:r>
        <w:rPr>
          <w:rFonts w:hint="eastAsia"/>
          <w:lang w:val="en-GB"/>
        </w:rPr>
        <w:t xml:space="preserve">3.3 </w:t>
      </w:r>
      <w:r>
        <w:rPr>
          <w:rFonts w:hint="eastAsia"/>
        </w:rPr>
        <w:t>外墙和屋盖的冷负荷</w:t>
      </w:r>
      <w:r>
        <w:tab/>
      </w:r>
      <w:r>
        <w:fldChar w:fldCharType="begin"/>
      </w:r>
      <w:r>
        <w:instrText xml:space="preserve"> PAGEREF _Toc22084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_Toc7038 </w:instrText>
      </w:r>
      <w:r>
        <w:fldChar w:fldCharType="separate"/>
      </w:r>
      <w:r>
        <w:rPr>
          <w:rFonts w:hint="eastAsia"/>
          <w:lang w:val="en-GB"/>
        </w:rPr>
        <w:t xml:space="preserve">3.4 </w:t>
      </w:r>
      <w:r>
        <w:rPr>
          <w:rFonts w:hint="eastAsia"/>
        </w:rPr>
        <w:t>新风冷负荷</w:t>
      </w:r>
      <w:r>
        <w:tab/>
      </w:r>
      <w:r>
        <w:fldChar w:fldCharType="begin"/>
      </w:r>
      <w:r>
        <w:instrText xml:space="preserve"> PAGEREF _Toc7038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_Toc28557 </w:instrText>
      </w:r>
      <w:r>
        <w:fldChar w:fldCharType="separate"/>
      </w:r>
      <w:r>
        <w:rPr>
          <w:rFonts w:hint="eastAsia"/>
          <w:lang w:val="en-GB"/>
        </w:rPr>
        <w:t xml:space="preserve">3.5 </w:t>
      </w:r>
      <w:r>
        <w:rPr>
          <w:rFonts w:hint="eastAsia"/>
        </w:rPr>
        <w:t>内墙、内窗、楼板、地面的冷负荷</w:t>
      </w:r>
      <w:r>
        <w:tab/>
      </w:r>
      <w:r>
        <w:fldChar w:fldCharType="begin"/>
      </w:r>
      <w:r>
        <w:instrText xml:space="preserve"> PAGEREF _Toc28557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_Toc31450 </w:instrText>
      </w:r>
      <w:r>
        <w:fldChar w:fldCharType="separate"/>
      </w:r>
      <w:r>
        <w:rPr>
          <w:rFonts w:hint="eastAsia"/>
          <w:lang w:val="en-GB"/>
        </w:rPr>
        <w:t xml:space="preserve">3.6 </w:t>
      </w:r>
      <w:r>
        <w:rPr>
          <w:rFonts w:hint="eastAsia"/>
        </w:rPr>
        <w:t>渗透空气冷负荷</w:t>
      </w:r>
      <w:r>
        <w:tab/>
      </w:r>
      <w:r>
        <w:fldChar w:fldCharType="begin"/>
      </w:r>
      <w:r>
        <w:instrText xml:space="preserve"> PAGEREF _Toc31450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_Toc10871 </w:instrText>
      </w:r>
      <w:r>
        <w:fldChar w:fldCharType="separate"/>
      </w:r>
      <w:r>
        <w:rPr>
          <w:rFonts w:hint="eastAsia"/>
          <w:lang w:val="en-GB"/>
        </w:rPr>
        <w:t xml:space="preserve">3.7 </w:t>
      </w:r>
      <w:r>
        <w:rPr>
          <w:rFonts w:hint="eastAsia"/>
        </w:rPr>
        <w:t>设备冷负荷</w:t>
      </w:r>
      <w:r>
        <w:tab/>
      </w:r>
      <w:r>
        <w:fldChar w:fldCharType="begin"/>
      </w:r>
      <w:r>
        <w:instrText xml:space="preserve"> PAGEREF _Toc10871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_Toc12099 </w:instrText>
      </w:r>
      <w:r>
        <w:fldChar w:fldCharType="separate"/>
      </w:r>
      <w:r>
        <w:rPr>
          <w:rFonts w:hint="eastAsia"/>
          <w:lang w:val="en-GB"/>
        </w:rPr>
        <w:t xml:space="preserve">3.8 </w:t>
      </w:r>
      <w:r>
        <w:rPr>
          <w:rFonts w:hint="eastAsia"/>
        </w:rPr>
        <w:t>照明冷负荷</w:t>
      </w:r>
      <w:r>
        <w:tab/>
      </w:r>
      <w:r>
        <w:fldChar w:fldCharType="begin"/>
      </w:r>
      <w:r>
        <w:instrText xml:space="preserve"> PAGEREF _Toc12099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_Toc3429 </w:instrText>
      </w:r>
      <w:r>
        <w:fldChar w:fldCharType="separate"/>
      </w:r>
      <w:r>
        <w:rPr>
          <w:rFonts w:hint="eastAsia"/>
          <w:lang w:val="en-GB"/>
        </w:rPr>
        <w:t xml:space="preserve">3.9 </w:t>
      </w:r>
      <w:r>
        <w:rPr>
          <w:rFonts w:hint="eastAsia"/>
        </w:rPr>
        <w:t>人体冷负荷</w:t>
      </w:r>
      <w:r>
        <w:tab/>
      </w:r>
      <w:r>
        <w:fldChar w:fldCharType="begin"/>
      </w:r>
      <w:r>
        <w:instrText xml:space="preserve"> PAGEREF _Toc3429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_Toc30491 </w:instrText>
      </w:r>
      <w:r>
        <w:fldChar w:fldCharType="separate"/>
      </w:r>
      <w:r>
        <w:rPr>
          <w:rFonts w:hint="eastAsia"/>
          <w:lang w:val="en-GB"/>
        </w:rPr>
        <w:t xml:space="preserve">3.10 </w:t>
      </w:r>
      <w:r>
        <w:rPr>
          <w:rFonts w:hint="eastAsia"/>
        </w:rPr>
        <w:t>冷负荷的修正</w:t>
      </w:r>
      <w:r>
        <w:tab/>
      </w:r>
      <w:r>
        <w:fldChar w:fldCharType="begin"/>
      </w:r>
      <w:r>
        <w:instrText xml:space="preserve"> PAGEREF _Toc30491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_Toc4245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4 </w:t>
      </w:r>
      <w:r>
        <w:rPr>
          <w:szCs w:val="24"/>
          <w:lang w:val="en-US"/>
        </w:rPr>
        <w:t>外围护构造</w:t>
      </w:r>
      <w:r>
        <w:tab/>
      </w:r>
      <w:r>
        <w:fldChar w:fldCharType="begin"/>
      </w:r>
      <w:r>
        <w:instrText xml:space="preserve"> PAGEREF _Toc4245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_Toc22403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4.1 </w:t>
      </w:r>
      <w:r>
        <w:rPr>
          <w:szCs w:val="24"/>
          <w:lang w:val="en-US"/>
        </w:rPr>
        <w:t>屋顶构造一</w:t>
      </w:r>
      <w:r>
        <w:tab/>
      </w:r>
      <w:r>
        <w:fldChar w:fldCharType="begin"/>
      </w:r>
      <w:r>
        <w:instrText xml:space="preserve"> PAGEREF _Toc22403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_Toc17174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4.2 </w:t>
      </w:r>
      <w:r>
        <w:rPr>
          <w:szCs w:val="24"/>
          <w:lang w:val="en-US"/>
        </w:rPr>
        <w:t>外墙构造一</w:t>
      </w:r>
      <w:r>
        <w:tab/>
      </w:r>
      <w:r>
        <w:fldChar w:fldCharType="begin"/>
      </w:r>
      <w:r>
        <w:instrText xml:space="preserve"> PAGEREF _Toc17174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_Toc4087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4.3 </w:t>
      </w:r>
      <w:r>
        <w:rPr>
          <w:szCs w:val="24"/>
          <w:lang w:val="en-US"/>
        </w:rPr>
        <w:t>热桥柱构造一</w:t>
      </w:r>
      <w:r>
        <w:tab/>
      </w:r>
      <w:r>
        <w:fldChar w:fldCharType="begin"/>
      </w:r>
      <w:r>
        <w:instrText xml:space="preserve"> PAGEREF _Toc4087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_Toc18548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4.4 </w:t>
      </w:r>
      <w:r>
        <w:rPr>
          <w:szCs w:val="24"/>
          <w:lang w:val="en-US"/>
        </w:rPr>
        <w:t>挑空楼板构造一</w:t>
      </w:r>
      <w:r>
        <w:tab/>
      </w:r>
      <w:r>
        <w:fldChar w:fldCharType="begin"/>
      </w:r>
      <w:r>
        <w:instrText xml:space="preserve"> PAGEREF _Toc18548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_Toc6093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5 </w:t>
      </w:r>
      <w:r>
        <w:rPr>
          <w:szCs w:val="24"/>
          <w:lang w:val="en-US"/>
        </w:rPr>
        <w:t>内围护构造</w:t>
      </w:r>
      <w:r>
        <w:tab/>
      </w:r>
      <w:r>
        <w:fldChar w:fldCharType="begin"/>
      </w:r>
      <w:r>
        <w:instrText xml:space="preserve"> PAGEREF _Toc6093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_Toc31938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5.1 </w:t>
      </w:r>
      <w:r>
        <w:rPr>
          <w:szCs w:val="24"/>
          <w:lang w:val="en-US"/>
        </w:rPr>
        <w:t>控温房间隔墙构造一</w:t>
      </w:r>
      <w:r>
        <w:tab/>
      </w:r>
      <w:r>
        <w:fldChar w:fldCharType="begin"/>
      </w:r>
      <w:r>
        <w:instrText xml:space="preserve"> PAGEREF _Toc31938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_Toc23705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5.2 </w:t>
      </w:r>
      <w:r>
        <w:rPr>
          <w:szCs w:val="24"/>
          <w:lang w:val="en-US"/>
        </w:rPr>
        <w:t>控温与非控温隔墙构造一</w:t>
      </w:r>
      <w:r>
        <w:tab/>
      </w:r>
      <w:r>
        <w:fldChar w:fldCharType="begin"/>
      </w:r>
      <w:r>
        <w:instrText xml:space="preserve"> PAGEREF _Toc23705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_Toc14819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5.3 </w:t>
      </w:r>
      <w:r>
        <w:rPr>
          <w:szCs w:val="24"/>
          <w:lang w:val="en-US"/>
        </w:rPr>
        <w:t>控温房间楼板构造一</w:t>
      </w:r>
      <w:r>
        <w:tab/>
      </w:r>
      <w:r>
        <w:fldChar w:fldCharType="begin"/>
      </w:r>
      <w:r>
        <w:instrText xml:space="preserve"> PAGEREF _Toc14819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_Toc28869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5.4 </w:t>
      </w:r>
      <w:r>
        <w:rPr>
          <w:szCs w:val="24"/>
          <w:lang w:val="en-US"/>
        </w:rPr>
        <w:t>控温与非控温楼板构造一</w:t>
      </w:r>
      <w:r>
        <w:tab/>
      </w:r>
      <w:r>
        <w:fldChar w:fldCharType="begin"/>
      </w:r>
      <w:r>
        <w:instrText xml:space="preserve"> PAGEREF _Toc28869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_Toc20557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6 </w:t>
      </w:r>
      <w:r>
        <w:rPr>
          <w:szCs w:val="24"/>
          <w:lang w:val="en-US"/>
        </w:rPr>
        <w:t>封闭阳台构造</w:t>
      </w:r>
      <w:r>
        <w:tab/>
      </w:r>
      <w:r>
        <w:fldChar w:fldCharType="begin"/>
      </w:r>
      <w:r>
        <w:instrText xml:space="preserve"> PAGEREF _Toc20557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_Toc5089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7 </w:t>
      </w:r>
      <w:r>
        <w:rPr>
          <w:szCs w:val="24"/>
          <w:lang w:val="en-US"/>
        </w:rPr>
        <w:t>地下围护构造</w:t>
      </w:r>
      <w:r>
        <w:tab/>
      </w:r>
      <w:r>
        <w:fldChar w:fldCharType="begin"/>
      </w:r>
      <w:r>
        <w:instrText xml:space="preserve"> PAGEREF _Toc5089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_Toc5774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7.1 </w:t>
      </w:r>
      <w:r>
        <w:rPr>
          <w:szCs w:val="24"/>
          <w:lang w:val="en-US"/>
        </w:rPr>
        <w:t>周边地面</w:t>
      </w:r>
      <w:r>
        <w:tab/>
      </w:r>
      <w:r>
        <w:fldChar w:fldCharType="begin"/>
      </w:r>
      <w:r>
        <w:instrText xml:space="preserve"> PAGEREF _Toc5774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_Toc2678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7.1.1 </w:t>
      </w:r>
      <w:r>
        <w:rPr>
          <w:szCs w:val="24"/>
          <w:lang w:val="en-US"/>
        </w:rPr>
        <w:t>周边地面构造一</w:t>
      </w:r>
      <w:r>
        <w:tab/>
      </w:r>
      <w:r>
        <w:fldChar w:fldCharType="begin"/>
      </w:r>
      <w:r>
        <w:instrText xml:space="preserve"> PAGEREF _Toc2678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_Toc20067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7.2 </w:t>
      </w:r>
      <w:r>
        <w:rPr>
          <w:szCs w:val="24"/>
          <w:lang w:val="en-US"/>
        </w:rPr>
        <w:t>非周边地面</w:t>
      </w:r>
      <w:r>
        <w:tab/>
      </w:r>
      <w:r>
        <w:fldChar w:fldCharType="begin"/>
      </w:r>
      <w:r>
        <w:instrText xml:space="preserve"> PAGEREF _Toc20067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_Toc10589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7.2.1 </w:t>
      </w:r>
      <w:r>
        <w:rPr>
          <w:szCs w:val="24"/>
          <w:lang w:val="en-US"/>
        </w:rPr>
        <w:t>非周边地面构造一</w:t>
      </w:r>
      <w:r>
        <w:tab/>
      </w:r>
      <w:r>
        <w:fldChar w:fldCharType="begin"/>
      </w:r>
      <w:r>
        <w:instrText xml:space="preserve"> PAGEREF _Toc10589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_Toc21282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8 </w:t>
      </w:r>
      <w:r>
        <w:rPr>
          <w:szCs w:val="24"/>
          <w:lang w:val="en-US"/>
        </w:rPr>
        <w:t>窗构造</w:t>
      </w:r>
      <w:r>
        <w:tab/>
      </w:r>
      <w:r>
        <w:fldChar w:fldCharType="begin"/>
      </w:r>
      <w:r>
        <w:instrText xml:space="preserve"> PAGEREF _Toc21282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_Toc22762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9 </w:t>
      </w:r>
      <w:r>
        <w:rPr>
          <w:szCs w:val="24"/>
          <w:lang w:val="en-US"/>
        </w:rPr>
        <w:t>门构造</w:t>
      </w:r>
      <w:r>
        <w:tab/>
      </w:r>
      <w:r>
        <w:fldChar w:fldCharType="begin"/>
      </w:r>
      <w:r>
        <w:instrText xml:space="preserve"> PAGEREF _Toc22762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_Toc25788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10 </w:t>
      </w:r>
      <w:r>
        <w:rPr>
          <w:szCs w:val="24"/>
          <w:lang w:val="en-US"/>
        </w:rPr>
        <w:t>负荷指标</w:t>
      </w:r>
      <w:r>
        <w:tab/>
      </w:r>
      <w:r>
        <w:fldChar w:fldCharType="begin"/>
      </w:r>
      <w:r>
        <w:instrText xml:space="preserve"> PAGEREF _Toc25788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_Toc13941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11 </w:t>
      </w:r>
      <w:r>
        <w:rPr>
          <w:szCs w:val="24"/>
          <w:lang w:val="en-US"/>
        </w:rPr>
        <w:t>建筑按楼层汇总表</w:t>
      </w:r>
      <w:r>
        <w:tab/>
      </w:r>
      <w:r>
        <w:fldChar w:fldCharType="begin"/>
      </w:r>
      <w:r>
        <w:instrText xml:space="preserve"> PAGEREF _Toc13941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_Toc15281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12 </w:t>
      </w:r>
      <w:r>
        <w:rPr>
          <w:szCs w:val="24"/>
          <w:lang w:val="en-US"/>
        </w:rPr>
        <w:t>新风负荷表</w:t>
      </w:r>
      <w:r>
        <w:tab/>
      </w:r>
      <w:r>
        <w:fldChar w:fldCharType="begin"/>
      </w:r>
      <w:r>
        <w:instrText xml:space="preserve"> PAGEREF _Toc15281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_Toc28408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13 </w:t>
      </w:r>
      <w:r>
        <w:rPr>
          <w:szCs w:val="24"/>
          <w:lang w:val="en-US"/>
        </w:rPr>
        <w:t>房间冷负荷详细表</w:t>
      </w:r>
      <w:r>
        <w:tab/>
      </w:r>
      <w:r>
        <w:fldChar w:fldCharType="begin"/>
      </w:r>
      <w:r>
        <w:instrText xml:space="preserve"> PAGEREF _Toc28408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6"/>
      </w:pPr>
      <w:r>
        <w:fldChar w:fldCharType="end"/>
      </w:r>
    </w:p>
    <w:p>
      <w:pPr>
        <w:rPr>
          <w:lang w:val="en-US"/>
        </w:rPr>
      </w:pPr>
    </w:p>
    <w:p>
      <w:pPr>
        <w:rPr>
          <w:lang w:val="en-US"/>
        </w:rPr>
        <w:sectPr>
          <w:headerReference r:id="rId3" w:type="default"/>
          <w:footerReference r:id="rId4" w:type="default"/>
          <w:pgSz w:w="11906" w:h="16838"/>
          <w:pgMar w:top="1440" w:right="1418" w:bottom="1440" w:left="1418" w:header="851" w:footer="992" w:gutter="0"/>
          <w:pgNumType w:start="1"/>
          <w:cols w:space="425" w:num="1"/>
          <w:titlePg/>
          <w:docGrid w:type="lines" w:linePitch="312" w:charSpace="0"/>
        </w:sectPr>
      </w:pPr>
    </w:p>
    <w:p>
      <w:pPr>
        <w:pStyle w:val="2"/>
        <w:rPr>
          <w:szCs w:val="24"/>
          <w:lang w:val="en-US"/>
        </w:rPr>
      </w:pPr>
      <w:bookmarkStart w:id="11" w:name="_Toc3250"/>
      <w:r>
        <w:rPr>
          <w:szCs w:val="24"/>
          <w:lang w:val="en-US"/>
        </w:rPr>
        <w:t>建筑概况</w:t>
      </w:r>
      <w:bookmarkEnd w:id="11"/>
    </w:p>
    <w:p>
      <w:pPr>
        <w:pStyle w:val="4"/>
        <w:rPr>
          <w:szCs w:val="24"/>
          <w:lang w:val="en-US"/>
        </w:rPr>
      </w:pPr>
      <w:bookmarkStart w:id="12" w:name="_Toc25489"/>
      <w:r>
        <w:rPr>
          <w:szCs w:val="24"/>
          <w:lang w:val="en-US"/>
        </w:rPr>
        <w:t>概况</w:t>
      </w:r>
      <w:bookmarkEnd w:id="12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3101"/>
        <w:gridCol w:w="339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地理位置</w:t>
            </w:r>
          </w:p>
        </w:tc>
        <w:tc>
          <w:tcPr>
            <w:gridSpan w:val="2"/>
            <w:vAlign w:val="center"/>
          </w:tcPr>
          <w:p>
            <w:r>
              <w:t>辽宁-沈阳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北纬</w:t>
            </w:r>
          </w:p>
        </w:tc>
        <w:tc>
          <w:tcPr>
            <w:gridSpan w:val="2"/>
            <w:vAlign w:val="center"/>
          </w:tcPr>
          <w:p>
            <w:r>
              <w:t>41.81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东经</w:t>
            </w:r>
          </w:p>
        </w:tc>
        <w:tc>
          <w:tcPr>
            <w:gridSpan w:val="2"/>
            <w:vAlign w:val="center"/>
          </w:tcPr>
          <w:p>
            <w:r>
              <w:t>123.43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建筑名称</w:t>
            </w:r>
          </w:p>
        </w:tc>
        <w:tc>
          <w:tcPr>
            <w:gridSpan w:val="2"/>
            <w:vAlign w:val="center"/>
          </w:tcPr>
          <w:p>
            <w:r>
              <w:t>工业博物馆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建筑面积</w:t>
            </w:r>
          </w:p>
        </w:tc>
        <w:tc>
          <w:tcPr>
            <w:vAlign w:val="center"/>
          </w:tcPr>
          <w:p>
            <w:r>
              <w:t>地上 4318.56 ㎡</w:t>
            </w:r>
          </w:p>
        </w:tc>
        <w:tc>
          <w:tcPr>
            <w:vAlign w:val="center"/>
          </w:tcPr>
          <w:p>
            <w:r>
              <w:t>地下 0.00 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建筑高度</w:t>
            </w:r>
          </w:p>
        </w:tc>
        <w:tc>
          <w:tcPr>
            <w:vAlign w:val="center"/>
          </w:tcPr>
          <w:p>
            <w:r>
              <w:t>地上 12.00 m</w:t>
            </w:r>
          </w:p>
        </w:tc>
        <w:tc>
          <w:tcPr>
            <w:vAlign w:val="center"/>
          </w:tcPr>
          <w:p>
            <w:r>
              <w:t>地下 0.00 m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建筑层数</w:t>
            </w:r>
          </w:p>
        </w:tc>
        <w:tc>
          <w:tcPr>
            <w:vAlign w:val="center"/>
          </w:tcPr>
          <w:p>
            <w:r>
              <w:t>地上 3</w:t>
            </w:r>
          </w:p>
        </w:tc>
        <w:tc>
          <w:tcPr>
            <w:vAlign w:val="center"/>
          </w:tcPr>
          <w:p>
            <w:r>
              <w:t>地下 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北向角度</w:t>
            </w:r>
          </w:p>
        </w:tc>
        <w:tc>
          <w:tcPr>
            <w:gridSpan w:val="2"/>
            <w:vAlign w:val="center"/>
          </w:tcPr>
          <w:p>
            <w:r>
              <w:t>90°</w:t>
            </w:r>
          </w:p>
        </w:tc>
      </w:tr>
    </w:tbl>
    <w:p>
      <w:pPr>
        <w:pStyle w:val="4"/>
        <w:rPr>
          <w:szCs w:val="24"/>
          <w:lang w:val="en-US"/>
        </w:rPr>
      </w:pPr>
      <w:bookmarkStart w:id="13" w:name="_Toc3668"/>
      <w:r>
        <w:rPr>
          <w:szCs w:val="24"/>
          <w:lang w:val="en-US"/>
        </w:rPr>
        <w:t>室外温湿度</w:t>
      </w:r>
      <w:bookmarkEnd w:id="13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时刻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01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02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03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04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05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06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07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08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09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温度(℃)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湿度(%)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时刻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23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温度(℃)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湿度(%)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62</w:t>
            </w:r>
          </w:p>
        </w:tc>
      </w:tr>
    </w:tbl>
    <w:p>
      <w:pPr>
        <w:pStyle w:val="4"/>
        <w:rPr>
          <w:szCs w:val="24"/>
          <w:lang w:val="en-US"/>
        </w:rPr>
      </w:pPr>
      <w:bookmarkStart w:id="14" w:name="_Toc20056"/>
      <w:r>
        <w:rPr>
          <w:szCs w:val="24"/>
          <w:lang w:val="en-US"/>
        </w:rPr>
        <w:t>太阳辐射照度</w:t>
      </w:r>
      <w:bookmarkEnd w:id="14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565"/>
        <w:gridCol w:w="701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pPr>
              <w:jc w:val="center"/>
            </w:pPr>
            <w:r>
              <w:t>朝向/时刻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06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07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08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09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r>
              <w:t>朝向</w:t>
            </w:r>
          </w:p>
        </w:tc>
        <w:tc>
          <w:tcPr>
            <w:vMerge w:val="restart"/>
            <w:vAlign w:val="center"/>
          </w:tcPr>
          <w:p>
            <w:r>
              <w:t>S</w:t>
            </w:r>
          </w:p>
        </w:tc>
        <w:tc>
          <w:tcPr>
            <w:vAlign w:val="center"/>
          </w:tcPr>
          <w:p>
            <w:r>
              <w:t>直射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散射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SE</w:t>
            </w:r>
          </w:p>
        </w:tc>
        <w:tc>
          <w:tcPr>
            <w:vAlign w:val="center"/>
          </w:tcPr>
          <w:p>
            <w:r>
              <w:t>直射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266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244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散射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E</w:t>
            </w:r>
          </w:p>
        </w:tc>
        <w:tc>
          <w:tcPr>
            <w:vAlign w:val="center"/>
          </w:tcPr>
          <w:p>
            <w:r>
              <w:t>直射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450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散射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NE</w:t>
            </w:r>
          </w:p>
        </w:tc>
        <w:tc>
          <w:tcPr>
            <w:vAlign w:val="center"/>
          </w:tcPr>
          <w:p>
            <w:r>
              <w:t>直射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295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散射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N</w:t>
            </w:r>
          </w:p>
        </w:tc>
        <w:tc>
          <w:tcPr>
            <w:vAlign w:val="center"/>
          </w:tcPr>
          <w:p>
            <w:r>
              <w:t>直射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散射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H</w:t>
            </w:r>
          </w:p>
        </w:tc>
        <w:tc>
          <w:tcPr>
            <w:vAlign w:val="center"/>
          </w:tcPr>
          <w:p>
            <w:r>
              <w:t>直射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173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582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582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173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散射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59</w:t>
            </w:r>
          </w:p>
        </w:tc>
      </w:tr>
    </w:tbl>
    <w:p>
      <w:pPr>
        <w:pStyle w:val="4"/>
        <w:rPr>
          <w:szCs w:val="24"/>
          <w:lang w:val="en-US"/>
        </w:rPr>
      </w:pPr>
      <w:bookmarkStart w:id="15" w:name="_Toc8723"/>
      <w:r>
        <w:rPr>
          <w:szCs w:val="24"/>
          <w:lang w:val="en-US"/>
        </w:rPr>
        <w:t>其他气象参数</w:t>
      </w:r>
      <w:bookmarkEnd w:id="15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7"/>
        <w:gridCol w:w="462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大气透明度等级</w:t>
            </w:r>
          </w:p>
        </w:tc>
        <w:tc>
          <w:tcPr>
            <w:vAlign w:val="center"/>
          </w:tcPr>
          <w:p>
            <w:r>
              <w:t>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夏季室外计算日平均温度twp（℃）</w:t>
            </w:r>
          </w:p>
        </w:tc>
        <w:tc>
          <w:tcPr>
            <w:vAlign w:val="center"/>
          </w:tcPr>
          <w:p>
            <w:r>
              <w:t>27.2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夏季室外计算干球温度twg（℃）</w:t>
            </w:r>
          </w:p>
        </w:tc>
        <w:tc>
          <w:tcPr>
            <w:vAlign w:val="center"/>
          </w:tcPr>
          <w:p>
            <w:r>
              <w:t>31.4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室外计算日较差⊿tr（℃）</w:t>
            </w:r>
          </w:p>
        </w:tc>
        <w:tc>
          <w:tcPr>
            <w:vAlign w:val="center"/>
          </w:tcPr>
          <w:p>
            <w:r>
              <w:t>8.1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夏季围护结构外表面换热系数αw(W/㎡· K)</w:t>
            </w:r>
          </w:p>
        </w:tc>
        <w:tc>
          <w:tcPr>
            <w:vAlign w:val="center"/>
          </w:tcPr>
          <w:p>
            <w:r>
              <w:t>18.6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围护结构内表面换热系数αn(W/㎡· K)</w:t>
            </w:r>
          </w:p>
        </w:tc>
        <w:tc>
          <w:tcPr>
            <w:vAlign w:val="center"/>
          </w:tcPr>
          <w:p>
            <w:r>
              <w:t>8.7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外墙太阳辐射吸收系数ρ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屋顶太阳辐射吸收系数ρ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夏季空气调节室外计算湿球温度（℃）</w:t>
            </w:r>
          </w:p>
        </w:tc>
        <w:tc>
          <w:tcPr>
            <w:vAlign w:val="center"/>
          </w:tcPr>
          <w:p>
            <w:r>
              <w:t>25.4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夏季大气压力(Pa)</w:t>
            </w:r>
          </w:p>
        </w:tc>
        <w:tc>
          <w:tcPr>
            <w:vAlign w:val="center"/>
          </w:tcPr>
          <w:p>
            <w:r>
              <w:t>100070</w:t>
            </w:r>
          </w:p>
        </w:tc>
      </w:tr>
    </w:tbl>
    <w:p>
      <w:pPr>
        <w:pStyle w:val="2"/>
        <w:rPr>
          <w:szCs w:val="24"/>
          <w:lang w:val="en-US"/>
        </w:rPr>
      </w:pPr>
      <w:bookmarkStart w:id="16" w:name="_Toc11644"/>
      <w:r>
        <w:rPr>
          <w:szCs w:val="24"/>
          <w:lang w:val="en-US"/>
        </w:rPr>
        <w:t>计算依据</w:t>
      </w:r>
      <w:bookmarkEnd w:id="16"/>
    </w:p>
    <w:p>
      <w:pPr>
        <w:rPr>
          <w:szCs w:val="24"/>
          <w:lang w:val="en-US"/>
        </w:rPr>
      </w:pPr>
      <w:r>
        <w:rPr>
          <w:szCs w:val="24"/>
          <w:lang w:val="en-US"/>
        </w:rPr>
        <w:t xml:space="preserve">1.《民用建筑供暖通风与空气调节设计规范》GB50736-2012.中国建筑工业出版社，2012 </w:t>
      </w:r>
    </w:p>
    <w:p>
      <w:pPr>
        <w:rPr>
          <w:szCs w:val="24"/>
          <w:lang w:val="en-US"/>
        </w:rPr>
      </w:pPr>
      <w:r>
        <w:rPr>
          <w:szCs w:val="24"/>
          <w:lang w:val="en-US"/>
        </w:rPr>
        <w:t>2.《空气调节设计手册》.中国建筑工业出版社，2005</w:t>
      </w:r>
    </w:p>
    <w:p>
      <w:pPr>
        <w:rPr>
          <w:szCs w:val="24"/>
          <w:lang w:val="en-US"/>
        </w:rPr>
      </w:pPr>
      <w:r>
        <w:rPr>
          <w:szCs w:val="24"/>
          <w:lang w:val="en-US"/>
        </w:rPr>
        <w:t>3.《实用供热空调设计手册》.中国建筑工业出版社，2008</w:t>
      </w:r>
    </w:p>
    <w:p>
      <w:pPr>
        <w:rPr>
          <w:szCs w:val="24"/>
          <w:lang w:val="en-US"/>
        </w:rPr>
      </w:pPr>
      <w:r>
        <w:rPr>
          <w:szCs w:val="24"/>
          <w:lang w:val="en-US"/>
        </w:rPr>
        <w:t>4.《公共建筑节能设计标准》GB50189-2015.中国建筑工业出版社，2015</w:t>
      </w:r>
    </w:p>
    <w:p>
      <w:pPr>
        <w:pStyle w:val="2"/>
        <w:rPr>
          <w:szCs w:val="24"/>
          <w:lang w:val="en-US"/>
        </w:rPr>
      </w:pPr>
      <w:bookmarkStart w:id="17" w:name="_Toc29093"/>
      <w:r>
        <w:rPr>
          <w:szCs w:val="24"/>
          <w:lang w:val="en-US"/>
        </w:rPr>
        <w:t>计算原理</w:t>
      </w:r>
      <w:bookmarkEnd w:id="17"/>
    </w:p>
    <w:bookmarkEnd w:id="7"/>
    <w:p>
      <w:pPr>
        <w:pStyle w:val="4"/>
        <w:spacing w:line="240" w:lineRule="atLeast"/>
      </w:pPr>
      <w:bookmarkStart w:id="18" w:name="_Toc17259"/>
      <w:bookmarkStart w:id="19" w:name="_Toc453593136"/>
      <w:r>
        <w:rPr>
          <w:rFonts w:hint="eastAsia"/>
        </w:rPr>
        <w:t>外窗的日射得热冷负荷</w:t>
      </w:r>
      <w:bookmarkEnd w:id="1"/>
      <w:bookmarkEnd w:id="2"/>
      <w:bookmarkEnd w:id="3"/>
      <w:bookmarkEnd w:id="4"/>
      <w:bookmarkEnd w:id="5"/>
      <w:bookmarkEnd w:id="6"/>
      <w:bookmarkEnd w:id="18"/>
    </w:p>
    <w:p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</w:t>
      </w:r>
      <w:r>
        <w:rPr>
          <w:color w:val="000000"/>
          <w:position w:val="-12"/>
          <w:lang w:val="en-US"/>
        </w:rPr>
        <w:object>
          <v:shape id="_x0000_i1025" o:spt="75" type="#_x0000_t75" style="height:18pt;width:300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5" DrawAspect="Content" ObjectID="_1468075725">
            <o:LockedField>false</o:LockedField>
          </o:OLEObject>
        </w:object>
      </w:r>
      <w:r>
        <w:rPr>
          <w:color w:val="000000"/>
        </w:rPr>
        <w:t xml:space="preserve">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公式中：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——各小时的日射冷负荷（W）；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——包括窗框的窗的面积（㎡）；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——该时刻玻璃窗被遮挡部分的面积（㎡）；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vertAlign w:val="subscript"/>
          <w:lang w:val="en-US"/>
        </w:rPr>
        <w:t>Xsc</w:t>
      </w:r>
      <w:r>
        <w:rPr>
          <w:rFonts w:hint="eastAsia"/>
          <w:kern w:val="2"/>
          <w:szCs w:val="24"/>
          <w:lang w:val="en-US"/>
        </w:rPr>
        <w:t>——窗的自遮阳系数；</w:t>
      </w:r>
      <w:bookmarkEnd w:id="8"/>
      <w:bookmarkStart w:id="20" w:name="OLE_LINK4"/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m</w:t>
      </w:r>
      <w:r>
        <w:rPr>
          <w:rFonts w:hint="eastAsia"/>
          <w:kern w:val="2"/>
          <w:szCs w:val="24"/>
          <w:lang w:val="en-US"/>
        </w:rPr>
        <w:t>——窗的有效面积系数:</w:t>
      </w:r>
    </w:p>
    <w:bookmarkEnd w:id="9"/>
    <w:bookmarkEnd w:id="20"/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b</w:t>
      </w:r>
      <w:r>
        <w:rPr>
          <w:rFonts w:hint="eastAsia"/>
          <w:kern w:val="2"/>
          <w:szCs w:val="24"/>
          <w:lang w:val="en-US"/>
        </w:rPr>
        <w:t>——窗玻璃修正系数，即不是3mm厚的单层普通玻璃时的修正系数：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z</w:t>
      </w:r>
      <w:r>
        <w:rPr>
          <w:rFonts w:hint="eastAsia"/>
          <w:kern w:val="2"/>
          <w:szCs w:val="24"/>
          <w:lang w:val="en-US"/>
        </w:rPr>
        <w:t>——窗的内遮阳的遮阳系数，无内遮阳时</w:t>
      </w: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z</w:t>
      </w:r>
      <w:r>
        <w:rPr>
          <w:rFonts w:hint="eastAsia"/>
          <w:kern w:val="2"/>
          <w:szCs w:val="24"/>
          <w:lang w:val="en-US"/>
        </w:rPr>
        <w:t xml:space="preserve"> =1：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c`max</w:t>
      </w:r>
      <w:r>
        <w:rPr>
          <w:rFonts w:hint="eastAsia"/>
          <w:kern w:val="2"/>
          <w:szCs w:val="24"/>
          <w:lang w:val="en-US"/>
        </w:rPr>
        <w:t>——窗日射得热量最大值(W/㎡)，如果选择了“精确计算坡屋顶等的太阳辐射得热”，将按坡屋顶的太阳辐射总照度计算方法计算精确值。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C</w:t>
      </w:r>
      <w:r>
        <w:rPr>
          <w:kern w:val="2"/>
          <w:szCs w:val="24"/>
          <w:vertAlign w:val="subscript"/>
          <w:lang w:val="en-US"/>
        </w:rPr>
        <w:t>CL</w:t>
      </w:r>
      <w:r>
        <w:rPr>
          <w:rFonts w:hint="eastAsia"/>
          <w:kern w:val="2"/>
          <w:szCs w:val="24"/>
          <w:lang w:val="en-US"/>
        </w:rPr>
        <w:t>——冷负荷系数，分无内遮阳和有内遮阳；</w:t>
      </w:r>
    </w:p>
    <w:p>
      <w:pPr>
        <w:widowControl w:val="0"/>
        <w:ind w:firstLine="210" w:firstLineChars="1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（J</w:t>
      </w:r>
      <w:r>
        <w:rPr>
          <w:kern w:val="2"/>
          <w:szCs w:val="24"/>
          <w:vertAlign w:val="subscript"/>
          <w:lang w:val="en-US"/>
        </w:rPr>
        <w:t>c`max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——北向（北纬20°、25°地区为南向）日射得热量的最大值；</w:t>
      </w:r>
    </w:p>
    <w:p>
      <w:pPr>
        <w:widowControl w:val="0"/>
        <w:ind w:firstLine="210" w:firstLineChars="1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（J</w:t>
      </w:r>
      <w:r>
        <w:rPr>
          <w:kern w:val="2"/>
          <w:szCs w:val="24"/>
          <w:vertAlign w:val="subscript"/>
          <w:lang w:val="en-US"/>
        </w:rPr>
        <w:t>CL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——该时刻北向（北纬20°、25°地区为南向）的冷负荷系数。</w:t>
      </w:r>
    </w:p>
    <w:p>
      <w:pPr>
        <w:pStyle w:val="4"/>
        <w:spacing w:line="240" w:lineRule="atLeast"/>
        <w:rPr>
          <w:rFonts w:hint="eastAsia"/>
        </w:rPr>
      </w:pPr>
      <w:bookmarkStart w:id="21" w:name="_Toc178152069"/>
      <w:bookmarkStart w:id="22" w:name="_Toc495932543"/>
      <w:bookmarkStart w:id="23" w:name="_Toc179707475"/>
      <w:bookmarkStart w:id="24" w:name="_Toc239133099"/>
      <w:bookmarkStart w:id="25" w:name="_Toc240280509"/>
      <w:bookmarkStart w:id="26" w:name="_Toc178151563"/>
      <w:bookmarkStart w:id="27" w:name="_Toc179712228"/>
      <w:bookmarkStart w:id="28" w:name="_Toc16139"/>
      <w:r>
        <w:rPr>
          <w:rFonts w:hint="eastAsia"/>
        </w:rPr>
        <w:t>外窗传热的冷负荷</w:t>
      </w:r>
      <w:bookmarkEnd w:id="1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123"/>
    </w:p>
    <w:p>
      <w:r>
        <w:t xml:space="preserve">      </w:t>
      </w:r>
      <w:r>
        <w:rPr>
          <w:rFonts w:hint="eastAsia" w:ascii="宋体" w:hAnsi="宋体" w:cs="宋体"/>
          <w:color w:val="000000"/>
          <w:szCs w:val="18"/>
        </w:rPr>
        <w:t>外窗传到室内的热量，按照对流和辐射两种方式传入室内，由于玻璃窗传热温差的波动幅度比太阳辐射热的波动幅度小很多，因此室内蓄热的温度波衰减对冷负荷影响很小，可认为外窗传热的得热即为冷负荷。</w:t>
      </w:r>
    </w:p>
    <w:p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            </w:t>
      </w:r>
      <w:r>
        <w:rPr>
          <w:color w:val="000000"/>
          <w:position w:val="-14"/>
          <w:lang w:val="en-US"/>
        </w:rPr>
        <w:object>
          <v:shape id="_x0000_i1026" o:spt="75" type="#_x0000_t75" style="height:18.75pt;width:132.7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26" DrawAspect="Content" ObjectID="_1468075726">
            <o:LockedField>false</o:LockedField>
          </o:OLEObject>
        </w:object>
      </w:r>
      <w:r>
        <w:rPr>
          <w:color w:val="000000"/>
        </w:rPr>
        <w:t xml:space="preserve">                   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2</w:t>
      </w:r>
      <w:r>
        <w:rPr>
          <w:rFonts w:hint="eastAsia"/>
          <w:kern w:val="2"/>
          <w:szCs w:val="24"/>
          <w:lang w:val="en-US"/>
        </w:rPr>
        <w:t>——玻璃窗传热冷负荷（W）；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——玻璃窗传热系数的修正系数；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——窗玻璃的传热系数[ W/（㎡·℃） ]；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——包括窗框的窗的面积（㎡）；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wp</w:t>
      </w:r>
      <w:r>
        <w:rPr>
          <w:rFonts w:hint="eastAsia"/>
          <w:kern w:val="2"/>
          <w:szCs w:val="24"/>
          <w:lang w:val="en-US"/>
        </w:rPr>
        <w:t>——夏季空气调节室外计算日平均温度（℃）；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——室内计算温度（℃）；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kern w:val="2"/>
          <w:szCs w:val="24"/>
          <w:vertAlign w:val="subscript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——夏季室外逐时温差，</w:t>
      </w:r>
    </w:p>
    <w:p>
      <w:pPr>
        <w:ind w:firstLine="0" w:firstLineChars="0"/>
        <w:jc w:val="center"/>
        <w:rPr>
          <w:rFonts w:hint="eastAsia"/>
          <w:color w:val="000000"/>
          <w:sz w:val="24"/>
          <w:szCs w:val="24"/>
        </w:rPr>
      </w:pPr>
      <w:r>
        <w:rPr>
          <w:color w:val="000000"/>
          <w:position w:val="-12"/>
          <w:sz w:val="24"/>
          <w:szCs w:val="24"/>
        </w:rPr>
        <w:object>
          <v:shape id="_x0000_i1027" o:spt="75" type="#_x0000_t75" style="height:18.75pt;width:54.7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27" DrawAspect="Content" ObjectID="_1468075727">
            <o:LockedField>false</o:LockedField>
          </o:OLEObject>
        </w:objec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β——室外温度逐时变化系数；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kern w:val="2"/>
          <w:szCs w:val="24"/>
          <w:vertAlign w:val="subscript"/>
          <w:lang w:val="en-US"/>
        </w:rPr>
        <w:t>r</w:t>
      </w:r>
      <w:r>
        <w:rPr>
          <w:rFonts w:hint="eastAsia"/>
          <w:kern w:val="2"/>
          <w:szCs w:val="24"/>
          <w:lang w:val="en-US"/>
        </w:rPr>
        <w:t>——夏季室外计算平均日较差（℃）。</w:t>
      </w:r>
    </w:p>
    <w:p>
      <w:pPr>
        <w:pStyle w:val="4"/>
        <w:spacing w:line="240" w:lineRule="atLeast"/>
        <w:rPr>
          <w:rFonts w:hint="eastAsia"/>
        </w:rPr>
      </w:pPr>
      <w:bookmarkStart w:id="29" w:name="_Toc239133100"/>
      <w:bookmarkStart w:id="30" w:name="_Toc179707476"/>
      <w:bookmarkStart w:id="31" w:name="_Toc178152070"/>
      <w:bookmarkStart w:id="32" w:name="_Toc453593138"/>
      <w:bookmarkStart w:id="33" w:name="_Toc178151564"/>
      <w:bookmarkStart w:id="34" w:name="_Toc240280510"/>
      <w:bookmarkStart w:id="35" w:name="_Toc495932544"/>
      <w:bookmarkStart w:id="36" w:name="_Toc179712229"/>
      <w:bookmarkStart w:id="37" w:name="_Toc22084"/>
      <w:r>
        <w:rPr>
          <w:rFonts w:hint="eastAsia"/>
        </w:rPr>
        <w:t>外墙和屋盖的冷负荷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         </w:t>
      </w:r>
      <w:r>
        <w:rPr>
          <w:color w:val="000000"/>
          <w:position w:val="-14"/>
          <w:lang w:val="en-US"/>
        </w:rPr>
        <w:object>
          <v:shape id="_x0000_i1028" o:spt="75" type="#_x0000_t75" style="height:18.75pt;width:164.2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8" DrawAspect="Content" ObjectID="_1468075728">
            <o:LockedField>false</o:LockedField>
          </o:OLEObject>
        </w:object>
      </w:r>
      <w:r>
        <w:rPr>
          <w:color w:val="000000"/>
        </w:rPr>
        <w:t xml:space="preserve">                   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>
      <w:pPr>
        <w:adjustRightInd w:val="0"/>
        <w:spacing w:line="360" w:lineRule="auto"/>
        <w:rPr>
          <w:color w:val="000000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——屋盖（或外墙）“计算时间”的冷负荷（W）；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——屋盖（或外墙）的传热系数[ W/（㎡·℃） ]；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——屋盖（或外墙）的面积(㎡)；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wp</w:t>
      </w:r>
      <w:r>
        <w:rPr>
          <w:rFonts w:hint="eastAsia"/>
          <w:kern w:val="2"/>
          <w:szCs w:val="24"/>
          <w:lang w:val="en-US"/>
        </w:rPr>
        <w:t>——夏季空气调节室外计算日平均温度（℃）；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rFonts w:hint="eastAsia"/>
          <w:kern w:val="2"/>
          <w:szCs w:val="24"/>
          <w:vertAlign w:val="subscript"/>
          <w:lang w:val="en-US"/>
        </w:rPr>
        <w:t>fp</w:t>
      </w:r>
      <w:r>
        <w:rPr>
          <w:rFonts w:hint="eastAsia"/>
          <w:kern w:val="2"/>
          <w:szCs w:val="24"/>
          <w:lang w:val="en-US"/>
        </w:rPr>
        <w:t>——屋盖（或外墙）外表面辐射平均温升（℃），</w:t>
      </w:r>
    </w:p>
    <w:p>
      <w:pPr>
        <w:widowControl w:val="0"/>
        <w:ind w:firstLine="420" w:firstLineChars="200"/>
        <w:jc w:val="center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29" o:spt="75" type="#_x0000_t75" style="height:36pt;width:60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29" DrawAspect="Content" ObjectID="_1468075729">
            <o:LockedField>false</o:LockedField>
          </o:OLEObject>
        </w:objec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p</w:t>
      </w:r>
      <w:r>
        <w:rPr>
          <w:rFonts w:hint="eastAsia"/>
          <w:kern w:val="2"/>
          <w:szCs w:val="24"/>
          <w:lang w:val="en-US"/>
        </w:rPr>
        <w:t>——太阳辐射日平均照度(W/㎡)；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α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——围护结构外表面换热系数， 一般可取18.6W/（㎡·℃）；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ρ——围护结构外表面太阳辐射吸收系数 。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——室内计算温度。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——屋盖（或外墙）“作用时间”室外温度波动部分的综合负荷温差（℃）；</w:t>
      </w:r>
    </w:p>
    <w:p>
      <w:pPr>
        <w:pStyle w:val="4"/>
        <w:spacing w:line="240" w:lineRule="atLeast"/>
      </w:pPr>
      <w:bookmarkStart w:id="38" w:name="_Toc240280511"/>
      <w:bookmarkStart w:id="39" w:name="_Toc239133101"/>
      <w:bookmarkStart w:id="40" w:name="_Toc179712230"/>
      <w:bookmarkStart w:id="41" w:name="_Toc178151565"/>
      <w:bookmarkStart w:id="42" w:name="_Toc178152071"/>
      <w:bookmarkStart w:id="43" w:name="_Toc453593139"/>
      <w:bookmarkStart w:id="44" w:name="_Toc179707477"/>
      <w:r>
        <w:rPr>
          <w:rFonts w:hint="eastAsia"/>
        </w:rPr>
        <w:t xml:space="preserve"> </w:t>
      </w:r>
      <w:bookmarkStart w:id="45" w:name="_Toc495932545"/>
      <w:bookmarkStart w:id="46" w:name="_Toc7038"/>
      <w:r>
        <w:rPr>
          <w:rFonts w:hint="eastAsia"/>
        </w:rPr>
        <w:t>新风冷负荷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>
      <w:pPr>
        <w:adjustRightInd w:val="0"/>
        <w:spacing w:line="360" w:lineRule="auto"/>
        <w:jc w:val="center"/>
        <w:rPr>
          <w:color w:val="000000"/>
          <w:lang w:val="en-US"/>
        </w:rPr>
      </w:pPr>
      <w:r>
        <w:rPr>
          <w:rFonts w:hint="eastAsia"/>
          <w:color w:val="000000"/>
        </w:rPr>
        <w:t>新风全热冷负荷＝（室外焓－室内焓）×新风量</w:t>
      </w:r>
      <w:r>
        <w:rPr>
          <w:color w:val="000000"/>
          <w:position w:val="-10"/>
          <w:lang w:val="en-US"/>
        </w:rPr>
        <w:object>
          <v:shape id="_x0000_i1030" o:spt="75" type="#_x0000_t75" style="height:15.75pt;width:8.2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3" ShapeID="_x0000_i1030" DrawAspect="Content" ObjectID="_1468075730">
            <o:LockedField>false</o:LockedField>
          </o:OLEObject>
        </w:object>
      </w:r>
      <w:r>
        <w:rPr>
          <w:rFonts w:hint="eastAsia"/>
          <w:color w:val="000000"/>
        </w:rPr>
        <w:t>１－</w:t>
      </w:r>
      <w:r>
        <w:rPr>
          <w:rFonts w:hint="eastAsia" w:ascii="MS PGothic" w:hAnsi="MS PGothic" w:eastAsia="MS PGothic"/>
          <w:color w:val="000000"/>
        </w:rPr>
        <w:t>ηζ</w:t>
      </w:r>
      <w:r>
        <w:rPr>
          <w:color w:val="000000"/>
          <w:position w:val="-10"/>
          <w:lang w:val="en-US"/>
        </w:rPr>
        <w:object>
          <v:shape id="_x0000_i1031" o:spt="75" type="#_x0000_t75" style="height:15.75pt;width:8.2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3" ShapeID="_x0000_i1031" DrawAspect="Content" ObjectID="_1468075731">
            <o:LockedField>false</o:LockedField>
          </o:OLEObject>
        </w:object>
      </w:r>
    </w:p>
    <w:p>
      <w:pPr>
        <w:adjustRightInd w:val="0"/>
        <w:spacing w:line="360" w:lineRule="auto"/>
        <w:rPr>
          <w:rFonts w:ascii="宋体" w:hAnsi="宋体" w:cs="宋体"/>
          <w:color w:val="000000"/>
          <w:szCs w:val="18"/>
        </w:rPr>
      </w:pPr>
      <w:r>
        <w:rPr>
          <w:color w:val="000000"/>
          <w:lang w:val="en-US"/>
        </w:rPr>
        <w:t>式中：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η——全热回收效率（0～１），没有热回收时为０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ζ——排风比例（０～１），即热回收装置的排风量/新风量。</w:t>
      </w:r>
    </w:p>
    <w:p>
      <w:pPr>
        <w:pStyle w:val="4"/>
        <w:spacing w:line="240" w:lineRule="atLeast"/>
        <w:rPr>
          <w:rFonts w:hint="eastAsia"/>
        </w:rPr>
      </w:pPr>
      <w:bookmarkStart w:id="47" w:name="_Toc178151566"/>
      <w:bookmarkStart w:id="48" w:name="_Toc179712231"/>
      <w:bookmarkStart w:id="49" w:name="_Toc239133102"/>
      <w:bookmarkStart w:id="50" w:name="_Toc453593140"/>
      <w:bookmarkStart w:id="51" w:name="_Toc178152072"/>
      <w:bookmarkStart w:id="52" w:name="_Toc240280512"/>
      <w:bookmarkStart w:id="53" w:name="_Toc179707478"/>
      <w:r>
        <w:t xml:space="preserve"> </w:t>
      </w:r>
      <w:bookmarkStart w:id="54" w:name="_Toc495932546"/>
      <w:bookmarkStart w:id="55" w:name="_Toc28557"/>
      <w:r>
        <w:rPr>
          <w:rFonts w:hint="eastAsia"/>
        </w:rPr>
        <w:t>内墙、内窗、楼板、地面的冷负荷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>
      <w:pPr>
        <w:widowControl w:val="0"/>
        <w:ind w:firstLine="420" w:firstLineChars="200"/>
        <w:jc w:val="both"/>
        <w:textAlignment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内墙、内窗、楼板等围护结构，当邻室为非空气调节房间时，可用“设计温度法”或“按发热情况计算法”，其中，按发热情况计算法是邻室温度采用邻室平均温度，其冷负荷按下式计算：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object>
          <v:shape id="_x0000_i1032" o:spt="75" type="#_x0000_t75" style="height:18.75pt;width:119.2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32" DrawAspect="Content" ObjectID="_1468075732">
            <o:LockedField>false</o:LockedField>
          </o:OLEObject>
        </w:objec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4</w:t>
      </w:r>
      <w:r>
        <w:rPr>
          <w:rFonts w:hint="eastAsia"/>
          <w:kern w:val="2"/>
          <w:szCs w:val="24"/>
          <w:lang w:val="en-US"/>
        </w:rPr>
        <w:t>——通过内墙或楼板传热的冷负荷（W）；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——内墙或楼板的传热系数[ W/（㎡·℃） ]；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rFonts w:hint="eastAsia"/>
          <w:kern w:val="2"/>
          <w:szCs w:val="24"/>
          <w:lang w:val="en-US"/>
        </w:rPr>
        <w:t>——内墙或楼板的面积(㎡)；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rFonts w:hint="eastAsia"/>
          <w:kern w:val="2"/>
          <w:szCs w:val="24"/>
          <w:vertAlign w:val="subscript"/>
          <w:lang w:val="en-US"/>
        </w:rPr>
        <w:t>ls</w:t>
      </w:r>
      <w:r>
        <w:rPr>
          <w:rFonts w:hint="eastAsia"/>
          <w:kern w:val="2"/>
          <w:szCs w:val="24"/>
          <w:lang w:val="en-US"/>
        </w:rPr>
        <w:t>——邻室平均温度与夏季空气调节室外计算日平均温度的差值（℃）；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“设计温度法”则采用温差传热计算，冷负荷按下式：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position w:val="-10"/>
          <w:szCs w:val="24"/>
          <w:lang w:val="en-US"/>
        </w:rPr>
        <w:object>
          <v:shape id="_x0000_i1033" o:spt="75" type="#_x0000_t75" style="height:18pt;width:96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33" DrawAspect="Content" ObjectID="_1468075733">
            <o:LockedField>false</o:LockedField>
          </o:OLEObject>
        </w:object>
      </w:r>
    </w:p>
    <w:p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ls</w:t>
      </w:r>
      <w:r>
        <w:rPr>
          <w:rFonts w:hint="eastAsia"/>
          <w:kern w:val="2"/>
          <w:szCs w:val="24"/>
          <w:lang w:val="en-US"/>
        </w:rPr>
        <w:t>——邻室设计温度</w:t>
      </w:r>
    </w:p>
    <w:p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内墙、内窗、楼板等围护结构的邻室为空气调节房间时，其室温与本房间温差小于3℃时，不计算冷负荷，反之亦按上式计算。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地面的冷负荷，舒适性空调房间夏季地面冷负荷可不必计算，对于工艺性空调房间，有外墙时，仅计算距外墙2M以内的地面传热作为冷负荷。即：</w:t>
      </w:r>
    </w:p>
    <w:p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34" o:spt="75" type="#_x0000_t75" style="height:18.75pt;width:10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034" DrawAspect="Content" ObjectID="_1468075734">
            <o:LockedField>false</o:LockedField>
          </o:OLEObject>
        </w:objec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D</w:t>
      </w:r>
      <w:r>
        <w:rPr>
          <w:rFonts w:hint="eastAsia"/>
          <w:kern w:val="2"/>
          <w:szCs w:val="24"/>
          <w:lang w:val="en-US"/>
        </w:rPr>
        <w:t>——地面冷负荷（W）；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D</w:t>
      </w:r>
      <w:r>
        <w:rPr>
          <w:rFonts w:hint="eastAsia"/>
          <w:kern w:val="2"/>
          <w:szCs w:val="24"/>
          <w:lang w:val="en-US"/>
        </w:rPr>
        <w:t>——地面传热系数，无保温地面取K=0.52 W/（㎡·℃）；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D</w:t>
      </w:r>
      <w:r>
        <w:rPr>
          <w:rFonts w:hint="eastAsia"/>
          <w:kern w:val="2"/>
          <w:szCs w:val="24"/>
          <w:lang w:val="en-US"/>
        </w:rPr>
        <w:t>——距外墙2米以内的地面面积(㎡)；</w:t>
      </w:r>
    </w:p>
    <w:p>
      <w:pPr>
        <w:pStyle w:val="4"/>
        <w:spacing w:line="240" w:lineRule="atLeast"/>
        <w:rPr>
          <w:rFonts w:hint="eastAsia"/>
        </w:rPr>
      </w:pPr>
      <w:bookmarkStart w:id="56" w:name="_Toc239133103"/>
      <w:bookmarkStart w:id="57" w:name="_Toc240280513"/>
      <w:bookmarkStart w:id="58" w:name="_Toc178152073"/>
      <w:bookmarkStart w:id="59" w:name="_Toc179707479"/>
      <w:bookmarkStart w:id="60" w:name="_Toc178151567"/>
      <w:bookmarkStart w:id="61" w:name="_Toc179712232"/>
      <w:bookmarkStart w:id="62" w:name="_Toc453593141"/>
      <w:r>
        <w:t xml:space="preserve"> </w:t>
      </w:r>
      <w:bookmarkStart w:id="63" w:name="_Toc495932547"/>
      <w:bookmarkStart w:id="64" w:name="_Toc31450"/>
      <w:r>
        <w:rPr>
          <w:rFonts w:hint="eastAsia"/>
        </w:rPr>
        <w:t>渗透空气冷负荷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 xml:space="preserve">空调房间在室内维持不了正压的情况下，可以按以下方法计算：  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通过空调房间外门渗入室内空气量按下式估算：</w:t>
      </w:r>
    </w:p>
    <w:p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35" o:spt="75" type="#_x0000_t75" style="height:17.25pt;width:41.2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3" ShapeID="_x0000_i1035" DrawAspect="Content" ObjectID="_1468075735">
            <o:LockedField>false</o:LockedField>
          </o:OLEObject>
        </w:object>
      </w:r>
    </w:p>
    <w:p>
      <w:pPr>
        <w:widowControl w:val="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L</w:t>
      </w:r>
      <w:r>
        <w:rPr>
          <w:rFonts w:hint="eastAsia"/>
          <w:kern w:val="2"/>
          <w:szCs w:val="24"/>
          <w:lang w:val="en-US"/>
        </w:rPr>
        <w:t>——门渗透空气量（m³/h）；</w:t>
      </w:r>
    </w:p>
    <w:p>
      <w:pPr>
        <w:widowControl w:val="0"/>
        <w:ind w:left="420" w:left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——每小时通过的人数（</w:t>
      </w: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perscript"/>
          <w:lang w:val="en-US"/>
        </w:rPr>
        <w:t>-1</w:t>
      </w:r>
      <w:r>
        <w:rPr>
          <w:rFonts w:hint="eastAsia"/>
          <w:kern w:val="2"/>
          <w:szCs w:val="24"/>
          <w:lang w:val="en-US"/>
        </w:rPr>
        <w:t>）；</w:t>
      </w:r>
      <w:r>
        <w:rPr>
          <w:rFonts w:hint="eastAsia"/>
          <w:kern w:val="2"/>
          <w:szCs w:val="24"/>
          <w:lang w:val="en-US"/>
        </w:rPr>
        <w:br w:type="textWrapping"/>
      </w:r>
      <w:r>
        <w:rPr>
          <w:kern w:val="2"/>
          <w:szCs w:val="24"/>
          <w:lang w:val="en-US"/>
        </w:rPr>
        <w:t>V</w:t>
      </w:r>
      <w:r>
        <w:rPr>
          <w:kern w:val="2"/>
          <w:szCs w:val="24"/>
          <w:vertAlign w:val="subscript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——每进入一人渗入的空气量（m³）。</w:t>
      </w:r>
    </w:p>
    <w:p>
      <w:pPr>
        <w:widowControl w:val="0"/>
        <w:ind w:left="420" w:leftChars="200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（2）渗透空气量的全热冷负荷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W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按下式计算：</w:t>
      </w:r>
    </w:p>
    <w:p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36" o:spt="75" type="#_x0000_t75" style="height:30.75pt;width:99.7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3" ShapeID="_x0000_i1036" DrawAspect="Content" ObjectID="_1468075736">
            <o:LockedField>false</o:LockedField>
          </o:OLEObject>
        </w:objec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L</w:t>
      </w:r>
      <w:r>
        <w:rPr>
          <w:rFonts w:hint="eastAsia"/>
          <w:kern w:val="2"/>
          <w:szCs w:val="24"/>
          <w:lang w:val="en-US"/>
        </w:rPr>
        <w:t>——渗入室内的总空气量（</w:t>
      </w:r>
      <w:r>
        <w:rPr>
          <w:rFonts w:hint="eastAsia"/>
          <w:kern w:val="2"/>
          <w:szCs w:val="24"/>
          <w:lang w:val="en-US"/>
        </w:rPr>
        <w:object>
          <v:shape id="_x0000_i1037" o:spt="75" type="#_x0000_t75" style="height:15pt;width:25.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3" ShapeID="_x0000_i1037" DrawAspect="Content" ObjectID="_1468075737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>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ρ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——夏季空调室外计算干球温度下的空气密度，一般可取ρ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 xml:space="preserve"> ＝1.13kg/m³；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——在夏季室外计算参数时的焓值；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——室内空气的焓值。</w:t>
      </w:r>
    </w:p>
    <w:p>
      <w:pPr>
        <w:widowControl w:val="0"/>
        <w:ind w:left="420" w:leftChars="200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</w:t>
      </w:r>
      <w:r>
        <w:rPr>
          <w:kern w:val="2"/>
          <w:szCs w:val="24"/>
          <w:lang w:val="en-US"/>
        </w:rPr>
        <w:t>3</w:t>
      </w:r>
      <w:r>
        <w:rPr>
          <w:rFonts w:hint="eastAsia"/>
          <w:kern w:val="2"/>
          <w:szCs w:val="24"/>
          <w:lang w:val="en-US"/>
        </w:rPr>
        <w:t>）渗透空气量的湿负荷</w:t>
      </w:r>
      <w:r>
        <w:rPr>
          <w:kern w:val="2"/>
          <w:szCs w:val="24"/>
          <w:lang w:val="en-US"/>
        </w:rPr>
        <w:t>W（kg）</w:t>
      </w:r>
      <w:r>
        <w:rPr>
          <w:rFonts w:hint="eastAsia"/>
          <w:kern w:val="2"/>
          <w:szCs w:val="24"/>
          <w:lang w:val="en-US"/>
        </w:rPr>
        <w:t>按下式计算：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38" o:spt="75" type="#_x0000_t75" style="height:30.75pt;width:106.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3" ShapeID="_x0000_i1038" DrawAspect="Content" ObjectID="_1468075738">
            <o:LockedField>false</o:LockedField>
          </o:OLEObject>
        </w:objec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——在夏季室外计算参数时的含湿量（g/kg）；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——室内空气的含湿量（g/kg）。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其他符号与上同。</w:t>
      </w:r>
    </w:p>
    <w:p>
      <w:pPr>
        <w:pStyle w:val="4"/>
        <w:spacing w:line="240" w:lineRule="atLeast"/>
        <w:rPr>
          <w:rFonts w:hint="eastAsia"/>
        </w:rPr>
      </w:pPr>
      <w:bookmarkStart w:id="65" w:name="_Toc178151568"/>
      <w:bookmarkStart w:id="66" w:name="_Toc179712233"/>
      <w:bookmarkStart w:id="67" w:name="_Toc240280514"/>
      <w:bookmarkStart w:id="68" w:name="_Toc239133104"/>
      <w:bookmarkStart w:id="69" w:name="_Toc453593142"/>
      <w:bookmarkStart w:id="70" w:name="_Toc178152074"/>
      <w:bookmarkStart w:id="71" w:name="_Toc179707480"/>
      <w:r>
        <w:t xml:space="preserve"> </w:t>
      </w:r>
      <w:bookmarkStart w:id="72" w:name="_Toc495932548"/>
      <w:bookmarkStart w:id="73" w:name="_Toc10871"/>
      <w:r>
        <w:rPr>
          <w:rFonts w:hint="eastAsia"/>
        </w:rPr>
        <w:t>设备冷负荷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（1）热设备及热表面散热形成的计算时刻冷负荷</w:t>
      </w:r>
      <w:r>
        <w:rPr>
          <w:rFonts w:ascii="宋体" w:hAnsi="宋体"/>
          <w:kern w:val="2"/>
          <w:szCs w:val="21"/>
          <w:lang w:val="en-US"/>
        </w:rPr>
        <w:t>Q</w:t>
      </w:r>
      <w:r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（W）可按下式计算：</w:t>
      </w:r>
    </w:p>
    <w:p>
      <w:pPr>
        <w:widowControl w:val="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39" o:spt="75" type="#_x0000_t75" style="height:18pt;width:62.2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3" ShapeID="_x0000_i1039" DrawAspect="Content" ObjectID="_1468075739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T——热源投入使用的时刻（点钟）；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τ-T——从热源投入使用的时刻算起到计算时刻的时间（h）；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rFonts w:hint="eastAsia"/>
          <w:kern w:val="2"/>
          <w:szCs w:val="24"/>
          <w:vertAlign w:val="subscript"/>
          <w:lang w:val="en-US"/>
        </w:rPr>
        <w:t>τ-T</w:t>
      </w:r>
      <w:r>
        <w:rPr>
          <w:rFonts w:hint="eastAsia"/>
          <w:kern w:val="2"/>
          <w:szCs w:val="24"/>
          <w:lang w:val="en-US"/>
        </w:rPr>
        <w:t>——τ-T时间设备、器具散热的冷负荷系数；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ascii="宋体" w:hAnsi="宋体"/>
          <w:kern w:val="2"/>
          <w:szCs w:val="21"/>
          <w:lang w:val="en-US"/>
        </w:rPr>
        <w:t>Qs</w:t>
      </w:r>
      <w:r>
        <w:rPr>
          <w:rFonts w:hint="eastAsia"/>
          <w:kern w:val="2"/>
          <w:szCs w:val="24"/>
          <w:lang w:val="en-US"/>
        </w:rPr>
        <w:t>——热源的计算散热量（W）；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（2）热设备及热表面散热形成的冷负荷</w:t>
      </w:r>
      <w:r>
        <w:rPr>
          <w:kern w:val="2"/>
          <w:szCs w:val="24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（W），当不能确定连续使用的小时数时，按照下式估算：</w:t>
      </w:r>
    </w:p>
    <w:p>
      <w:pPr>
        <w:widowControl w:val="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0" o:spt="75" type="#_x0000_t75" style="height:18.75pt;width:51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3" ShapeID="_x0000_i1040" DrawAspect="Content" ObjectID="_1468075740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4</w:t>
      </w:r>
      <w:r>
        <w:rPr>
          <w:rFonts w:hint="eastAsia"/>
          <w:kern w:val="2"/>
          <w:szCs w:val="24"/>
          <w:lang w:val="en-US"/>
        </w:rPr>
        <w:t>——蓄热系数、热源的冷负荷与计算散热量之比；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Qs</w:t>
      </w:r>
      <w:r>
        <w:rPr>
          <w:rFonts w:hint="eastAsia"/>
          <w:kern w:val="2"/>
          <w:szCs w:val="24"/>
          <w:lang w:val="en-US"/>
        </w:rPr>
        <w:t>——热源的计算散热量（W）。</w:t>
      </w:r>
    </w:p>
    <w:p>
      <w:pPr>
        <w:pStyle w:val="4"/>
        <w:spacing w:line="240" w:lineRule="atLeast"/>
        <w:rPr>
          <w:rFonts w:hint="eastAsia"/>
        </w:rPr>
      </w:pPr>
      <w:bookmarkStart w:id="74" w:name="_Toc178151569"/>
      <w:bookmarkStart w:id="75" w:name="_Toc240280515"/>
      <w:bookmarkStart w:id="76" w:name="_Toc178152075"/>
      <w:bookmarkStart w:id="77" w:name="_Toc179712234"/>
      <w:bookmarkStart w:id="78" w:name="_Toc453593143"/>
      <w:bookmarkStart w:id="79" w:name="_Toc179707481"/>
      <w:bookmarkStart w:id="80" w:name="_Toc239133105"/>
      <w:r>
        <w:t xml:space="preserve"> </w:t>
      </w:r>
      <w:bookmarkStart w:id="81" w:name="_Toc495932549"/>
      <w:bookmarkStart w:id="82" w:name="_Toc12099"/>
      <w:r>
        <w:rPr>
          <w:rFonts w:hint="eastAsia"/>
        </w:rPr>
        <w:t>照明冷负荷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照明设备散热形成的计算时刻的冷负荷</w:t>
      </w:r>
      <w:r>
        <w:rPr>
          <w:rFonts w:ascii="宋体" w:hAnsi="宋体"/>
          <w:kern w:val="2"/>
          <w:szCs w:val="21"/>
          <w:lang w:val="en-US"/>
        </w:rPr>
        <w:t>Q</w:t>
      </w:r>
      <w:r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（W），可按照下式计算：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1" o:spt="75" type="#_x0000_t75" style="height:18pt;width:62.2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3" ShapeID="_x0000_i1041" DrawAspect="Content" ObjectID="_1468075741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T——开灯时刻（点钟）；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τ-T——从开灯时刻算起到计算时刻的时间（h）；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rFonts w:hint="eastAsia"/>
          <w:kern w:val="2"/>
          <w:szCs w:val="24"/>
          <w:vertAlign w:val="subscript"/>
          <w:lang w:val="en-US"/>
        </w:rPr>
        <w:t>τ-T</w:t>
      </w:r>
      <w:r>
        <w:rPr>
          <w:rFonts w:hint="eastAsia"/>
          <w:kern w:val="2"/>
          <w:szCs w:val="24"/>
          <w:lang w:val="en-US"/>
        </w:rPr>
        <w:t>——τ-T时间照明散热的冷负荷系数；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ascii="宋体" w:hAnsi="宋体"/>
          <w:kern w:val="2"/>
          <w:szCs w:val="21"/>
          <w:lang w:val="en-US"/>
        </w:rPr>
        <w:t>Qs</w:t>
      </w:r>
      <w:r>
        <w:rPr>
          <w:rFonts w:hint="eastAsia"/>
          <w:kern w:val="2"/>
          <w:szCs w:val="24"/>
          <w:lang w:val="en-US"/>
        </w:rPr>
        <w:t>——照明设备的散热量（W）；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当不能确定照明灯开关的确切时间时，照明的冷负荷可按照下式估算：</w:t>
      </w:r>
    </w:p>
    <w:p>
      <w:pPr>
        <w:widowControl w:val="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2" o:spt="75" type="#_x0000_t75" style="height:18.75pt;width:57.7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3" ShapeID="_x0000_i1042" DrawAspect="Content" ObjectID="_1468075742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4</w:t>
      </w:r>
      <w:r>
        <w:rPr>
          <w:rFonts w:hint="eastAsia"/>
          <w:kern w:val="2"/>
          <w:szCs w:val="24"/>
          <w:lang w:val="en-US"/>
        </w:rPr>
        <w:t>——蓄热系数，明装荧光灯可取0.9，暗装的荧光灯或明装的白炽灯可取0.85。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ascii="宋体" w:hAnsi="宋体"/>
          <w:kern w:val="2"/>
          <w:szCs w:val="21"/>
          <w:lang w:val="en-US"/>
        </w:rPr>
        <w:t>Qs（</w:t>
      </w:r>
      <w:r>
        <w:rPr>
          <w:rFonts w:hint="eastAsia" w:ascii="宋体" w:hAnsi="宋体"/>
          <w:kern w:val="2"/>
          <w:szCs w:val="21"/>
          <w:lang w:val="en-US"/>
        </w:rPr>
        <w:t>W</w:t>
      </w:r>
      <w:r>
        <w:rPr>
          <w:rFonts w:ascii="宋体" w:hAnsi="宋体"/>
          <w:kern w:val="2"/>
          <w:szCs w:val="21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的值需要自行计算，计算过程如下：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对于明装的白炽灯</w:t>
      </w:r>
    </w:p>
    <w:p>
      <w:pPr>
        <w:widowControl w:val="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3" o:spt="75" type="#_x0000_t75" style="height:18pt;width:77.2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3" ShapeID="_x0000_i1043" DrawAspect="Content" ObjectID="_1468075743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对于荧光灯</w:t>
      </w:r>
    </w:p>
    <w:p>
      <w:pPr>
        <w:widowControl w:val="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4" o:spt="75" type="#_x0000_t75" style="height:18pt;width:92.2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3" ShapeID="_x0000_i1044" DrawAspect="Content" ObjectID="_1468075744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——照明设备的安装功率(kW)；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3</w:t>
      </w:r>
      <w:r>
        <w:rPr>
          <w:rFonts w:hint="eastAsia"/>
          <w:kern w:val="2"/>
          <w:szCs w:val="24"/>
          <w:lang w:val="en-US"/>
        </w:rPr>
        <w:t>——同时使用系数，一般为0.5~0.8；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6</w:t>
      </w:r>
      <w:r>
        <w:rPr>
          <w:rFonts w:hint="eastAsia"/>
          <w:kern w:val="2"/>
          <w:szCs w:val="24"/>
          <w:lang w:val="en-US"/>
        </w:rPr>
        <w:t>——整流器消耗功率的系数，当整流器在空调房间内时取1.2；当整流器在吊顶内时取1.0；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7</w:t>
      </w:r>
      <w:r>
        <w:rPr>
          <w:rFonts w:hint="eastAsia"/>
          <w:kern w:val="2"/>
          <w:szCs w:val="24"/>
          <w:lang w:val="en-US"/>
        </w:rPr>
        <w:t>——安装系数，明装时取1.0；暗装且灯罩上部穿有小孔时取0.5~0.6；暗装灯罩上无孔时，视吊顶内的通风情况取0.6~0.8；灯具回风时可取0.35.</w:t>
      </w:r>
    </w:p>
    <w:p>
      <w:pPr>
        <w:pStyle w:val="4"/>
        <w:spacing w:line="240" w:lineRule="atLeast"/>
        <w:rPr>
          <w:rFonts w:hint="eastAsia"/>
        </w:rPr>
      </w:pPr>
      <w:bookmarkStart w:id="83" w:name="_Toc178152076"/>
      <w:bookmarkStart w:id="84" w:name="_Toc453593144"/>
      <w:bookmarkStart w:id="85" w:name="_Toc239133106"/>
      <w:bookmarkStart w:id="86" w:name="_Toc179712235"/>
      <w:bookmarkStart w:id="87" w:name="_Toc178151570"/>
      <w:bookmarkStart w:id="88" w:name="_Toc240280516"/>
      <w:bookmarkStart w:id="89" w:name="_Toc179707482"/>
      <w:r>
        <w:t xml:space="preserve"> </w:t>
      </w:r>
      <w:bookmarkStart w:id="90" w:name="_Toc495932550"/>
      <w:bookmarkStart w:id="91" w:name="_Toc3429"/>
      <w:r>
        <w:rPr>
          <w:rFonts w:hint="eastAsia"/>
        </w:rPr>
        <w:t>人体冷负荷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（1）显热冷负荷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人体的显热散热量中辐射部分约占2/3，存在蓄热滞后的问题。显热散热形成的计算时刻冷负荷</w:t>
      </w:r>
      <w:r>
        <w:rPr>
          <w:rFonts w:ascii="宋体" w:hAnsi="宋体"/>
          <w:kern w:val="2"/>
          <w:szCs w:val="21"/>
          <w:lang w:val="en-US"/>
        </w:rPr>
        <w:t>Q</w:t>
      </w:r>
      <w:r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（W），可按照下式计算：</w:t>
      </w:r>
    </w:p>
    <w:p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45" o:spt="75" type="#_x0000_t75" style="height:18pt;width:62.2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3" ShapeID="_x0000_i1045" DrawAspect="Content" ObjectID="_1468075745">
            <o:LockedField>false</o:LockedField>
          </o:OLEObject>
        </w:objec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T——人员进入房间的时刻（点钟）；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τ-T——从人员进入房间时算起到计算时刻的时间（h）；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rFonts w:hint="eastAsia"/>
          <w:kern w:val="2"/>
          <w:szCs w:val="24"/>
          <w:vertAlign w:val="subscript"/>
          <w:lang w:val="en-US"/>
        </w:rPr>
        <w:t>τ-T</w:t>
      </w:r>
      <w:r>
        <w:rPr>
          <w:rFonts w:hint="eastAsia"/>
          <w:kern w:val="2"/>
          <w:szCs w:val="24"/>
          <w:lang w:val="en-US"/>
        </w:rPr>
        <w:t>——τ-T时间人体显热散热的冷负荷系数；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s</w:t>
      </w:r>
      <w:r>
        <w:rPr>
          <w:rFonts w:hint="eastAsia"/>
          <w:kern w:val="2"/>
          <w:szCs w:val="24"/>
          <w:lang w:val="en-US"/>
        </w:rPr>
        <w:t>——人体显热的散热量（W）；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人体显热的散热量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s</w:t>
      </w:r>
      <w:r>
        <w:rPr>
          <w:rFonts w:hint="eastAsia"/>
          <w:kern w:val="2"/>
          <w:szCs w:val="24"/>
          <w:lang w:val="en-US"/>
        </w:rPr>
        <w:t>（W）可按下式计算：</w:t>
      </w:r>
    </w:p>
    <w:p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46" o:spt="75" type="#_x0000_t75" style="height:18pt;width:51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3" ShapeID="_x0000_i1046" DrawAspect="Content" ObjectID="_1468075746">
            <o:LockedField>false</o:LockedField>
          </o:OLEObject>
        </w:objec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——空调房间内的人员总数；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φ——群集系数，男子、女子、儿童折合成成年男子的散热比例；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x</w:t>
      </w:r>
      <w:r>
        <w:rPr>
          <w:rFonts w:hint="eastAsia"/>
          <w:kern w:val="2"/>
          <w:szCs w:val="24"/>
          <w:lang w:val="en-US"/>
        </w:rPr>
        <w:t>——每名成年男子的显热散热量（W）。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（2）潜热冷负荷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潜热冷负荷按即时负荷考虑，即与潜热散热量相等。潜热冷负荷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按下式计算：</w:t>
      </w:r>
    </w:p>
    <w:p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47" o:spt="75" type="#_x0000_t75" style="height:18.75pt;width:51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3" ShapeID="_x0000_i1047" DrawAspect="Content" ObjectID="_1468075747">
            <o:LockedField>false</o:LockedField>
          </o:OLEObject>
        </w:object>
      </w:r>
    </w:p>
    <w:p>
      <w:pPr>
        <w:widowControl w:val="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式中：.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——每名男子的潜热散热量（W） 。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其余符号与（1）中所述一致。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3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人体全热冷负荷</w:t>
      </w:r>
      <w:r>
        <w:rPr>
          <w:kern w:val="2"/>
          <w:szCs w:val="24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（W）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该负荷</w:t>
      </w:r>
      <w:r>
        <w:rPr>
          <w:rFonts w:hint="eastAsia"/>
          <w:kern w:val="2"/>
          <w:szCs w:val="24"/>
          <w:lang w:val="en-US"/>
        </w:rPr>
        <w:t>为显热冷负荷与潜热冷负荷之和，计算公式如下：</w:t>
      </w:r>
    </w:p>
    <w:p>
      <w:pPr>
        <w:widowControl w:val="0"/>
        <w:jc w:val="both"/>
        <w:rPr>
          <w:rFonts w:hint="eastAsia"/>
          <w:color w:val="000000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8" o:spt="75" type="#_x0000_t75" style="height:18.75pt;width:60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3" ShapeID="_x0000_i1048" DrawAspect="Content" ObjectID="_1468075748">
            <o:LockedField>false</o:LockedField>
          </o:OLEObject>
        </w:object>
      </w:r>
      <w:r>
        <w:rPr>
          <w:rFonts w:hint="eastAsia"/>
          <w:color w:val="000000"/>
        </w:rPr>
        <w:t xml:space="preserve">                                      </w:t>
      </w:r>
      <w:r>
        <w:rPr>
          <w:color w:val="000000"/>
        </w:rPr>
        <w:t xml:space="preserve"> </w:t>
      </w:r>
    </w:p>
    <w:p>
      <w:pPr>
        <w:pStyle w:val="4"/>
        <w:spacing w:line="240" w:lineRule="atLeast"/>
        <w:rPr>
          <w:rFonts w:hint="eastAsia"/>
        </w:rPr>
      </w:pPr>
      <w:bookmarkStart w:id="92" w:name="_Toc453593145"/>
      <w:bookmarkStart w:id="93" w:name="_Toc240280517"/>
      <w:bookmarkStart w:id="94" w:name="_Toc239133107"/>
      <w:r>
        <w:rPr>
          <w:rFonts w:hint="eastAsia"/>
        </w:rPr>
        <w:t xml:space="preserve"> </w:t>
      </w:r>
      <w:bookmarkStart w:id="95" w:name="_Toc495932551"/>
      <w:bookmarkStart w:id="96" w:name="_Toc30491"/>
      <w:r>
        <w:rPr>
          <w:rFonts w:hint="eastAsia"/>
        </w:rPr>
        <w:t>冷负荷的修正</w:t>
      </w:r>
      <w:bookmarkEnd w:id="92"/>
      <w:bookmarkEnd w:id="93"/>
      <w:bookmarkEnd w:id="94"/>
      <w:bookmarkEnd w:id="95"/>
      <w:bookmarkEnd w:id="96"/>
    </w:p>
    <w:p>
      <w:pPr>
        <w:spacing w:line="240" w:lineRule="auto"/>
        <w:rPr>
          <w:color w:val="000000"/>
        </w:rPr>
      </w:pPr>
      <w:r>
        <w:rPr>
          <w:rFonts w:hint="eastAsia"/>
          <w:color w:val="000000"/>
        </w:rPr>
        <w:t>（1）间歇附加系数</w:t>
      </w:r>
    </w:p>
    <w:p>
      <w:pPr>
        <w:spacing w:line="24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对于设备、人员发热较大的房间，其设备和人员的发热如按稳定传热计算时，如预冷(工作前开机)0.5~1小时或更多时间，则不需附加。对于以围护结构负荷为主的房间(如办公楼)，则需要将计算出的冷负荷乘以间歇负荷系数。</w:t>
      </w:r>
    </w:p>
    <w:p>
      <w:pPr>
        <w:spacing w:line="24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（2）轻型附加系数</w:t>
      </w:r>
    </w:p>
    <w:p>
      <w:pPr>
        <w:spacing w:line="24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每平方空调面积的围护结构的材料重量小于150kg的称为轻型结构。由于轻型结构的蓄热能力小，对波动负荷衰减少，故需增加一个附加系数。</w:t>
      </w:r>
    </w:p>
    <w:p>
      <w:pPr>
        <w:spacing w:line="240" w:lineRule="auto"/>
        <w:rPr>
          <w:rFonts w:hint="eastAsia"/>
          <w:color w:val="000000"/>
        </w:rPr>
      </w:pPr>
      <w:bookmarkStart w:id="97" w:name="_Toc179707483"/>
      <w:bookmarkStart w:id="98" w:name="_Toc179712236"/>
      <w:bookmarkStart w:id="99" w:name="_Toc178152077"/>
      <w:bookmarkStart w:id="100" w:name="_Toc178151571"/>
      <w:r>
        <w:rPr>
          <w:rFonts w:hint="eastAsia"/>
          <w:color w:val="000000"/>
        </w:rPr>
        <w:t>（3）其它附加系数</w:t>
      </w:r>
    </w:p>
    <w:p>
      <w:r>
        <w:rPr>
          <w:rFonts w:hint="eastAsia"/>
          <w:color w:val="000000"/>
        </w:rPr>
        <w:t>对于跃层的房间或厂房，当房间高度比较高时，因为人都是在下边活动，所以房间上边的温度高一点是无所谓的。这时可以把“其它附加系数”设成小于1的适当的值；对于其它情况若考虑的不足或过多时也可以设置“其它附加系数”来修正。</w:t>
      </w:r>
      <w:bookmarkEnd w:id="97"/>
      <w:bookmarkEnd w:id="98"/>
      <w:bookmarkEnd w:id="99"/>
      <w:bookmarkEnd w:id="100"/>
    </w:p>
    <w:p>
      <w:pPr>
        <w:pStyle w:val="2"/>
        <w:rPr>
          <w:szCs w:val="24"/>
          <w:lang w:val="en-US"/>
        </w:rPr>
      </w:pPr>
      <w:bookmarkStart w:id="101" w:name="_Toc4245"/>
      <w:r>
        <w:rPr>
          <w:szCs w:val="24"/>
          <w:lang w:val="en-US"/>
        </w:rPr>
        <w:t>外围护构造</w:t>
      </w:r>
      <w:bookmarkEnd w:id="101"/>
    </w:p>
    <w:p>
      <w:pPr>
        <w:pStyle w:val="4"/>
        <w:rPr>
          <w:szCs w:val="24"/>
          <w:lang w:val="en-US"/>
        </w:rPr>
      </w:pPr>
      <w:bookmarkStart w:id="102" w:name="_Toc22403"/>
      <w:r>
        <w:rPr>
          <w:szCs w:val="24"/>
          <w:lang w:val="en-US"/>
        </w:rPr>
        <w:t>屋顶构造一</w:t>
      </w:r>
      <w:bookmarkEnd w:id="102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防水层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抗裂砂浆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胶粉聚苯颗粒保温层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1.126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3.5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5.912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水泥珍珠岩找坡层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3.037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0.333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1.519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钢筋混凝土屋面板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17.06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混合砂浆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0.87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10.627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3.943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8.718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夏季传热系数K=1/(0.11+∑R+0.05)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0.244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修正后传热系数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0.246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370.08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22.78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0.07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  <w:rPr>
          <w:szCs w:val="24"/>
          <w:lang w:val="en-US"/>
        </w:rPr>
      </w:pPr>
      <w:bookmarkStart w:id="103" w:name="_Toc17174"/>
      <w:r>
        <w:rPr>
          <w:szCs w:val="24"/>
          <w:lang w:val="en-US"/>
        </w:rPr>
        <w:t>外墙构造一</w:t>
      </w:r>
      <w:bookmarkEnd w:id="103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水泥砂浆L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承重空心砖墙L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8.928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0.414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3.694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空气间层L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6.121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0.671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岩棉，玻璃棉板L2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1.018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3.333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3.393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石膏板L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0.397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470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4.142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7.480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夏季传热系数K=1/(0.11+∑R+0.05)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0.232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修正后传热系数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0.206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826.97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18.38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0.03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  <w:rPr>
          <w:szCs w:val="24"/>
          <w:lang w:val="en-US"/>
        </w:rPr>
      </w:pPr>
      <w:bookmarkStart w:id="104" w:name="_Toc4087"/>
      <w:r>
        <w:rPr>
          <w:szCs w:val="24"/>
          <w:lang w:val="en-US"/>
        </w:rPr>
        <w:t>热桥柱构造一</w:t>
      </w:r>
      <w:bookmarkEnd w:id="104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抗裂砂浆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聚苯颗粒保温浆料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1.091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0.417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0.546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聚苯板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0.042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0.392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1.389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0.653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17.2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2.966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混合砂浆（石灰水泥砂浆）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0.87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10.627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2.006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4.469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夏季传热系数K=1/(0.11+∑R+0.05)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0.462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204.75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11.14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0.07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  <w:rPr>
          <w:szCs w:val="24"/>
          <w:lang w:val="en-US"/>
        </w:rPr>
      </w:pPr>
      <w:bookmarkStart w:id="105" w:name="_Toc18548"/>
      <w:r>
        <w:rPr>
          <w:szCs w:val="24"/>
          <w:lang w:val="en-US"/>
        </w:rPr>
        <w:t>挑空楼板构造一</w:t>
      </w:r>
      <w:bookmarkEnd w:id="105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水泥砂浆楼面面层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0.87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10.627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粉煤灰陶粒砼隔音层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7.522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0.792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XPS板保温层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0.54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10厚1：3水泥砂浆找平层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13.41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钢筋混凝土楼板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17.06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EPS板保温层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0.041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0.287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1.321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0.455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薄抹灰饰面层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0.073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291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2.416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3.189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夏季传热系数K=1/(0.11+∑R+0.05)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0.388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修正后传热系数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0.298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316.78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6.88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0.05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2"/>
        <w:rPr>
          <w:szCs w:val="24"/>
          <w:lang w:val="en-US"/>
        </w:rPr>
      </w:pPr>
      <w:bookmarkStart w:id="106" w:name="_Toc6093"/>
      <w:r>
        <w:rPr>
          <w:szCs w:val="24"/>
          <w:lang w:val="en-US"/>
        </w:rPr>
        <w:t>内围护构造</w:t>
      </w:r>
      <w:bookmarkEnd w:id="106"/>
    </w:p>
    <w:p>
      <w:pPr>
        <w:pStyle w:val="4"/>
        <w:rPr>
          <w:szCs w:val="24"/>
          <w:lang w:val="en-US"/>
        </w:rPr>
      </w:pPr>
      <w:bookmarkStart w:id="107" w:name="_Toc31938"/>
      <w:r>
        <w:rPr>
          <w:szCs w:val="24"/>
          <w:lang w:val="en-US"/>
        </w:rPr>
        <w:t>控温房间隔墙构造一</w:t>
      </w:r>
      <w:bookmarkEnd w:id="107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水泥砂浆L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承重空心砖墙L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8.928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0.414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3.694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空气间层L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6.121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0.671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坚壳珍珠岩L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1.692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0.48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0.812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白灰砂浆L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0.81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10.551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5.012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传热系数K=1/(0.11+∑R+0.11)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0.860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修正后传热系数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1.140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114.77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13.06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0.07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  <w:rPr>
          <w:szCs w:val="24"/>
          <w:lang w:val="en-US"/>
        </w:rPr>
      </w:pPr>
      <w:bookmarkStart w:id="108" w:name="_Toc23705"/>
      <w:r>
        <w:rPr>
          <w:szCs w:val="24"/>
          <w:lang w:val="en-US"/>
        </w:rPr>
        <w:t>控温与非控温隔墙构造一</w:t>
      </w:r>
      <w:bookmarkEnd w:id="108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抗裂砂浆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TD泡沫混凝土保温板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1.058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1.167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专用抹面砂浆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粘土多孔砖(承重型)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370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7.874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0.638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5.023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混合砂浆（石灰水泥砂浆）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0.87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10.627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450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1.730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6.556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传热系数K=1/(0.11+∑R+0.11)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0.513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修正后传热系数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0.380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472.05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16.64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0.03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  <w:rPr>
          <w:szCs w:val="24"/>
          <w:lang w:val="en-US"/>
        </w:rPr>
      </w:pPr>
      <w:bookmarkStart w:id="109" w:name="_Toc14819"/>
      <w:r>
        <w:rPr>
          <w:szCs w:val="24"/>
          <w:lang w:val="en-US"/>
        </w:rPr>
        <w:t>控温房间楼板构造一</w:t>
      </w:r>
      <w:bookmarkEnd w:id="109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水泥砂浆L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承重空心砖墙L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8.928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0.414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3.694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空气间层L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6.121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0.671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坚壳珍珠岩L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1.692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0.48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0.812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白灰砂浆L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0.81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10.551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5.012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传热系数K=1/(0.11+∑R+0.11)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0.860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修正后传热系数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1.140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114.77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13.06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0.07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  <w:rPr>
          <w:szCs w:val="24"/>
          <w:lang w:val="en-US"/>
        </w:rPr>
      </w:pPr>
      <w:bookmarkStart w:id="110" w:name="_Toc28869"/>
      <w:r>
        <w:rPr>
          <w:szCs w:val="24"/>
          <w:lang w:val="en-US"/>
        </w:rPr>
        <w:t>控温与非控温楼板构造一</w:t>
      </w:r>
      <w:bookmarkEnd w:id="110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水泥砂浆L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聚苯板3L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0.488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1.538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0.751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水泥砂浆L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1.581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1.237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传热系数K=1/(0.11+∑R+0.11)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0.555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修正后传热系数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0.680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21.46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1.89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0.55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2"/>
        <w:rPr>
          <w:szCs w:val="24"/>
          <w:lang w:val="en-US"/>
        </w:rPr>
      </w:pPr>
      <w:bookmarkStart w:id="111" w:name="_Toc20557"/>
      <w:r>
        <w:rPr>
          <w:szCs w:val="24"/>
          <w:lang w:val="en-US"/>
        </w:rPr>
        <w:t>封闭阳台构造</w:t>
      </w:r>
      <w:bookmarkEnd w:id="111"/>
    </w:p>
    <w:p>
      <w:pPr>
        <w:rPr>
          <w:szCs w:val="24"/>
          <w:lang w:val="en-US"/>
        </w:rPr>
      </w:pPr>
      <w:r>
        <w:rPr>
          <w:szCs w:val="24"/>
          <w:lang w:val="en-US"/>
        </w:rPr>
        <w:t>本工程无此项内容</w:t>
      </w:r>
    </w:p>
    <w:p>
      <w:pPr>
        <w:pStyle w:val="2"/>
        <w:rPr>
          <w:szCs w:val="24"/>
          <w:lang w:val="en-US"/>
        </w:rPr>
      </w:pPr>
      <w:bookmarkStart w:id="112" w:name="_Toc5089"/>
      <w:r>
        <w:rPr>
          <w:szCs w:val="24"/>
          <w:lang w:val="en-US"/>
        </w:rPr>
        <w:t>地下围护构造</w:t>
      </w:r>
      <w:bookmarkEnd w:id="112"/>
    </w:p>
    <w:p>
      <w:pPr>
        <w:pStyle w:val="4"/>
        <w:rPr>
          <w:szCs w:val="24"/>
          <w:lang w:val="en-US"/>
        </w:rPr>
      </w:pPr>
      <w:bookmarkStart w:id="113" w:name="_Toc5774"/>
      <w:r>
        <w:rPr>
          <w:szCs w:val="24"/>
          <w:lang w:val="en-US"/>
        </w:rPr>
        <w:t>周边地面</w:t>
      </w:r>
      <w:bookmarkEnd w:id="113"/>
    </w:p>
    <w:p>
      <w:pPr>
        <w:pStyle w:val="5"/>
        <w:rPr>
          <w:szCs w:val="24"/>
          <w:lang w:val="en-US"/>
        </w:rPr>
      </w:pPr>
      <w:bookmarkStart w:id="114" w:name="_Toc2678"/>
      <w:r>
        <w:rPr>
          <w:szCs w:val="24"/>
          <w:lang w:val="en-US"/>
        </w:rPr>
        <w:t>周边地面构造一</w:t>
      </w:r>
      <w:bookmarkEnd w:id="114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rPr>
                <w:color w:val="999999"/>
              </w:rPr>
              <w:t>钢筋混凝土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120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1.74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17.2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0.069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1.431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夏季传热系数K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0.520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修正后传热系数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0.340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32.45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5.67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0.39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  <w:rPr>
          <w:szCs w:val="24"/>
          <w:lang w:val="en-US"/>
        </w:rPr>
      </w:pPr>
      <w:bookmarkStart w:id="115" w:name="_Toc20067"/>
      <w:r>
        <w:rPr>
          <w:szCs w:val="24"/>
          <w:lang w:val="en-US"/>
        </w:rPr>
        <w:t>非周边地面</w:t>
      </w:r>
      <w:bookmarkEnd w:id="115"/>
    </w:p>
    <w:p>
      <w:pPr>
        <w:pStyle w:val="5"/>
        <w:rPr>
          <w:szCs w:val="24"/>
          <w:lang w:val="en-US"/>
        </w:rPr>
      </w:pPr>
      <w:bookmarkStart w:id="116" w:name="_Toc10589"/>
      <w:r>
        <w:rPr>
          <w:szCs w:val="24"/>
          <w:lang w:val="en-US"/>
        </w:rPr>
        <w:t>非周边地面构造一</w:t>
      </w:r>
      <w:bookmarkEnd w:id="116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rPr>
                <w:color w:val="999999"/>
              </w:rPr>
              <w:t>钢筋混凝土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120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1.74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17.2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0.069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1.431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夏季传热系数K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修正后传热系数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0.170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32.45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5.67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0.67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2"/>
        <w:rPr>
          <w:szCs w:val="24"/>
          <w:lang w:val="en-US"/>
        </w:rPr>
      </w:pPr>
      <w:bookmarkStart w:id="117" w:name="_Toc21282"/>
      <w:r>
        <w:rPr>
          <w:szCs w:val="24"/>
          <w:lang w:val="en-US"/>
        </w:rPr>
        <w:t>窗构造</w:t>
      </w:r>
      <w:bookmarkEnd w:id="117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9"/>
        <w:gridCol w:w="3112"/>
        <w:gridCol w:w="141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做法名称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传热系数W/㎡.K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遮阳系数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隔热金属框+中空玻(6mm中透光LOW-E+12mm氩气+6mm透明)</w:t>
            </w:r>
          </w:p>
        </w:tc>
        <w:tc>
          <w:tcPr>
            <w:vAlign w:val="center"/>
          </w:tcPr>
          <w:p>
            <w:r>
              <w:t>2.30</w:t>
            </w:r>
          </w:p>
        </w:tc>
        <w:tc>
          <w:tcPr>
            <w:vAlign w:val="center"/>
          </w:tcPr>
          <w:p>
            <w:r>
              <w:t>0.50</w:t>
            </w:r>
          </w:p>
        </w:tc>
      </w:tr>
    </w:tbl>
    <w:p>
      <w:pPr>
        <w:pStyle w:val="2"/>
        <w:rPr>
          <w:szCs w:val="24"/>
          <w:lang w:val="en-US"/>
        </w:rPr>
      </w:pPr>
      <w:bookmarkStart w:id="118" w:name="_Toc22762"/>
      <w:r>
        <w:rPr>
          <w:szCs w:val="24"/>
          <w:lang w:val="en-US"/>
        </w:rPr>
        <w:t>门构造</w:t>
      </w:r>
      <w:bookmarkEnd w:id="118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7"/>
        <w:gridCol w:w="38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做法名称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传热系数W/㎡.K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金属三防门(挤塑型聚苯乙烯泡沫板)</w:t>
            </w:r>
          </w:p>
        </w:tc>
        <w:tc>
          <w:tcPr>
            <w:vAlign w:val="center"/>
          </w:tcPr>
          <w:p>
            <w:r>
              <w:t>1.10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内门</w:t>
            </w:r>
          </w:p>
        </w:tc>
        <w:tc>
          <w:tcPr>
            <w:vAlign w:val="center"/>
          </w:tcPr>
          <w:p>
            <w:r>
              <w:t>3.00</w:t>
            </w:r>
          </w:p>
        </w:tc>
      </w:tr>
    </w:tbl>
    <w:p>
      <w:pPr>
        <w:pStyle w:val="2"/>
        <w:rPr>
          <w:szCs w:val="24"/>
          <w:lang w:val="en-US"/>
        </w:rPr>
      </w:pPr>
      <w:bookmarkStart w:id="119" w:name="_Toc25788"/>
      <w:r>
        <w:rPr>
          <w:szCs w:val="24"/>
          <w:lang w:val="en-US"/>
        </w:rPr>
        <w:t>负荷指标</w:t>
      </w:r>
      <w:bookmarkEnd w:id="119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3112"/>
        <w:gridCol w:w="310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整楼负荷(W)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负荷指标(W/㎡)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</w:pPr>
            <w:r>
              <w:t>301702</w:t>
            </w:r>
          </w:p>
        </w:tc>
        <w:tc>
          <w:tcPr>
            <w:vAlign w:val="center"/>
          </w:tcPr>
          <w:p>
            <w:r>
              <w:t>4318.56</w:t>
            </w:r>
          </w:p>
        </w:tc>
        <w:tc>
          <w:tcPr>
            <w:vAlign w:val="center"/>
          </w:tcPr>
          <w:p>
            <w:r>
              <w:t>69.86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空调面积(㎡)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负荷指标(W/㎡)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r>
              <w:t>2634.19</w:t>
            </w:r>
          </w:p>
        </w:tc>
        <w:tc>
          <w:tcPr>
            <w:vAlign w:val="center"/>
          </w:tcPr>
          <w:p>
            <w:r>
              <w:t>114.53</w:t>
            </w:r>
          </w:p>
        </w:tc>
      </w:tr>
    </w:tbl>
    <w:p>
      <w:pPr>
        <w:pStyle w:val="2"/>
        <w:rPr>
          <w:szCs w:val="24"/>
          <w:lang w:val="en-US"/>
        </w:rPr>
      </w:pPr>
      <w:bookmarkStart w:id="120" w:name="_Toc13941"/>
      <w:r>
        <w:rPr>
          <w:szCs w:val="24"/>
          <w:lang w:val="en-US"/>
        </w:rPr>
        <w:t>建筑按楼层汇总表</w:t>
      </w:r>
      <w:bookmarkEnd w:id="120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2263"/>
        <w:gridCol w:w="848"/>
        <w:gridCol w:w="764"/>
        <w:gridCol w:w="764"/>
        <w:gridCol w:w="764"/>
        <w:gridCol w:w="764"/>
        <w:gridCol w:w="905"/>
        <w:gridCol w:w="730"/>
        <w:gridCol w:w="9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最大时刻(h)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全热(W)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显热(W)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潜热(W)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湿负荷(kg/h)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新风负荷(W)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总冷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1层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1001[办公-普通办公室]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100.35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11045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6400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4646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6.60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110.07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1005[办公-普通办公室]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316.13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35369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20734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14635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20.78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15299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111.88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1007[办公-普通办公室]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189.30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21407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12643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8763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12.44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9161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113.08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1020[办公-普通办公室]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50.54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8606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6266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2446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170.28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1025[办公-普通办公室]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28.52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1.87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129.93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1026[办公-普通办公室]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28.30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1.86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135.07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1027[办公-普通办公室]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27.56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3035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1759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1276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1.81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110.13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1028[办公-普通办公室]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3341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1.79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122.39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1030[办公-普通办公室]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26.46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1281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110.59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1031[办公-普通办公室]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2796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1.66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110.96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1034[办公-普通办公室]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18.60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105.73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1035[办公-普通办公室]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15.50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136.99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1038[办公-普通办公室]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683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129.09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1043[办公-普通办公室]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111.26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867.54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100715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60554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40161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57.02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41985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116.09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2层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2001[办公-普通办公室]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851.84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97178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57743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39435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55.98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41225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114.08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2006[办公-普通办公室]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195.89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21799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12731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9068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12.87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9480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111.28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2011[办公-普通办公室]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131.39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14988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8906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6082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8.63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6358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114.08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2017[办公-普通办公室]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78.34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8671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5044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3627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110.67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2021[办公-普通办公室]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45.25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4930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2835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2095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2.97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108.94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2036[办公-普通办公室]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1239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583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144.60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2041[办公-普通办公室]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103.38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1320.87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149556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88409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61147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86.81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63924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113.23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3层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3009[办公-普通办公室]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143.08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16443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9819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6624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6924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114.92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3010[办公-普通办公室]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136.93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16290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9951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6339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6627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118.97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3014[办公-普通办公室]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100.35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11356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6710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4646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6.60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113.16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3019[办公-普通办公室]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51.53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6338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2386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3.39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2494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122.99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3037[办公-普通办公室]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0.55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126.92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3042[办公-普通办公室]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113.80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445.78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51861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31224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20637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29.30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21574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116.34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建筑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2634.19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301702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179757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121945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173.12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127482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114.53</w:t>
            </w:r>
          </w:p>
        </w:tc>
      </w:tr>
    </w:tbl>
    <w:p>
      <w:pPr>
        <w:pStyle w:val="2"/>
        <w:rPr>
          <w:szCs w:val="24"/>
          <w:lang w:val="en-US"/>
        </w:rPr>
      </w:pPr>
      <w:bookmarkStart w:id="121" w:name="_Toc15281"/>
      <w:r>
        <w:rPr>
          <w:szCs w:val="24"/>
          <w:lang w:val="en-US"/>
        </w:rPr>
        <w:t>新风负荷表</w:t>
      </w:r>
      <w:bookmarkEnd w:id="121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2196"/>
        <w:gridCol w:w="848"/>
        <w:gridCol w:w="1075"/>
        <w:gridCol w:w="905"/>
        <w:gridCol w:w="905"/>
        <w:gridCol w:w="905"/>
        <w:gridCol w:w="905"/>
        <w:gridCol w:w="9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面积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新风量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(m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全热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显热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潜热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湿负荷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(kg/h)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总冷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1层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1001[办公-普通办公室]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100.35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752.63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1350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3507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1005[办公-普通办公室]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316.13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2370.97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15299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4253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11047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15.40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1007[办公-普通办公室]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189.30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1419.75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9161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2546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6615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1020[办公-普通办公室]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50.54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379.03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2446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1766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2.46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1025[办公-普通办公室]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28.52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213.86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996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1.39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1026[办公-普通办公室]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28.30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212.22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1.38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1027[办公-普通办公室]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27.56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206.67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1028[办公-普通办公室]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204.71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1030[办公-普通办公室]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26.46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198.45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1281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1031[办公-普通办公室]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189.00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881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1034[办公-普通办公室]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18.60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139.50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650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0.91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1035[办公-普通办公室]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15.50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116.25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542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1038[办公-普通办公室]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61.82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1043[办公-普通办公室]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41.68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868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6506.55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41985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11670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30315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42.27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48.40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2层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2001[办公-普通办公室]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851.84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6388.81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41225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11459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29766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41.50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2006[办公-普通办公室]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195.89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1469.15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9480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2635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6845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2011[办公-普通办公室]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131.39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985.39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6358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4591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6.40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2017[办公-普通办公室]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78.34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587.59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2738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3.82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2021[办公-普通办公室]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45.25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339.38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1581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2036[办公-普通办公室]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94.50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2041[办公-普通办公室]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41.68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1321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9906.50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63924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17768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46155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64.35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48.40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3层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3009[办公-普通办公室]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143.08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1073.09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6924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6.97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3010[办公-普通办公室]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136.93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1026.98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6627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1842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6.67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3014[办公-普通办公室]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100.35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752.63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1350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3507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3019[办公-普通办公室]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51.53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386.48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2494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3037[办公-普通办公室]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62.50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3042[办公-普通办公室]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41.68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446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3343.36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21574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5997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15577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21.72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48.40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2634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19756.41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127482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35435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92047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128.34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48.40</w:t>
            </w:r>
          </w:p>
        </w:tc>
      </w:tr>
    </w:tbl>
    <w:p>
      <w:pPr>
        <w:sectPr>
          <w:footerReference r:id="rId5" w:type="default"/>
          <w:pgSz w:w="11906" w:h="16838"/>
          <w:pgMar w:top="1440" w:right="1418" w:bottom="1440" w:left="1418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pStyle w:val="2"/>
        <w:rPr>
          <w:szCs w:val="24"/>
          <w:lang w:val="en-US"/>
        </w:rPr>
      </w:pPr>
      <w:bookmarkStart w:id="122" w:name="_Toc28408"/>
      <w:r>
        <w:rPr>
          <w:szCs w:val="24"/>
          <w:lang w:val="en-US"/>
        </w:rPr>
        <w:t>房间冷负荷详细表</w:t>
      </w:r>
      <w:bookmarkEnd w:id="122"/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1001[办公-普通办公室]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11045.1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D=8.72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F=40.67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K=0.21 D=7.48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K=0.21 D=7.48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K=0.21 D=7.48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K=2.30 SC=0.50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680.4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694.3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F=52.53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1525.3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1585.5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1645.8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762.7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916.2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949.3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971.4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1370.7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1402.2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1433.7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2509.7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2541.2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2572.7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1349.9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1349.9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1349.9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4856.5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4856.5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4856.5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10603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10757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10886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5957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6112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5746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6029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4762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1.71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1005[办公-普通办公室]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20733.9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35368.6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K=0.21 D=7.48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F=58.88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K=0.21 D=7.48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K=0.21 D=7.48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F=61.26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K=0.21 D=7.48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K=2.30 SC=0.50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K=2.30 SC=0.50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1631.2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1682.2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1596.8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K=2.30 SC=0.50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445.8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K=2.30 SC=0.50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1143.3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1195.8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1220.3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4805.2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4994.8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5184.5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5311.0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5437.4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5563.9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5627.1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5753.6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2402.6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2886.3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2990.6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3060.1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904.1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4318.0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4417.3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4516.5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4566.2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4615.8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4764.7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992.6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7906.1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8005.4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8104.6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8154.2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8203.9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8253.5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8303.1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6169.0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8352.8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7409.8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7608.3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7757.2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992.6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4252.6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4252.6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4252.6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4252.6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4252.6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4252.6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4252.6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4252.6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15299.2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15299.2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15299.2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15299.2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15299.2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15299.2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15299.2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15299.2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15299.2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15299.2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15299.2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15299.2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15299.2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34501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34930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35317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19867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20295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20682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19630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20018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16042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16430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5.37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1007[办公-普通办公室]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12643.3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21406.6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D=8.72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F=47.12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K=0.21 D=7.48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K=0.21 D=7.48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K=0.21 D=7.48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K=0.21 D=7.48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K=0.21 D=7.48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F=60.58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K=0.21 D=7.48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K=0.21 D=7.48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K=2.30 SC=0.50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543.8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K=2.30 SC=0.50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504.1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478.5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K=2.30 SC=0.50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K=2.30 SC=0.50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K=2.30 SC=0.50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K=2.30 SC=0.50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K=2.30 SC=0.50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2877.4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2990.9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3104.5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1438.7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1728.3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1790.8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1832.4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2585.6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2645.1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2704.5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4734.2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4793.6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4853.1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4972.0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5001.7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2546.5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2546.5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2546.5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9161.2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9161.2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9161.2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9161.2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9161.2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9161.2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9161.2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9161.2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9.22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9.22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9.22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20808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21035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21257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12045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12272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12494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12.44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12.44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12.44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12.44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11647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11874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12096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9498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9725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9948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3.22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1020[办公-普通办公室]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6266.1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D=8.72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K=0.21 D=7.48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K=0.21 D=7.48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K=0.21 D=7.48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K=0.21 D=7.48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K=2.30 SC=0.50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1128.4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803.7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804.3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K=2.30 SC=0.50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841.9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868.2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824.1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K=2.30 SC=0.50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663.9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976.1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1426.5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768.2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798.5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828.8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461.4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478.1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690.3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706.2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722.0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1263.9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1279.8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679.8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679.8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679.8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2445.8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2445.8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2445.8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7796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7870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8330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5457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5530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5991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5351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5424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4777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5311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0.86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1025[办公-普通办公室]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D=8.72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K=0.21 D=7.48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K=2.30 SC=0.50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671.5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478.2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478.6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467.7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713.1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722.1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731.0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1380.0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1026[办公-普通办公室]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F=28.30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D=8.72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K=0.21 D=7.48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K=2.30 SC=0.50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701.8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499.8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500.3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707.6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716.5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725.4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1369.4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1369.4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1369.4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1027[办公-普通办公室]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K=0.21 D=7.48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K=2.30 SC=0.50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418.9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385.0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689.2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697.8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706.5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1333.6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1333.6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1333.6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0.47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1028[办公-普通办公室]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K=0.21 D=7.48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K=2.30 SC=0.50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585.9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604.2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573.5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431.3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682.6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691.2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699.8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1320.9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1320.9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1320.9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1030[办公-普通办公室]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K=0.21 D=7.48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K=2.30 SC=0.50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418.1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661.7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678.4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1280.5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1280.5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1031[办公-普通办公室]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K=0.21 D=7.48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K=2.30 SC=0.50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630.2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638.1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646.1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1219.6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1219.6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1219.6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1034[办公-普通办公室]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D=8.72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K=0.21 D=7.48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K=0.21 D=7.48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K=0.21 D=7.48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476.8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900.1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900.1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900.1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1035[办公-普通办公室]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K=0.21 D=7.48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K=0.21 D=7.48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K=2.30 SC=0.50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K=2.30 SC=0.50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397.4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750.1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750.1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750.1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1038[办公-普通办公室]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K=0.21 D=7.48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K=2.30 SC=0.50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1043[办公-普通办公室]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顶板1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F=25.99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2001[办公-普通办公室]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851.84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57743.2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97177.7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F=752.71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D=8.72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2395.2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2328.4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1848.9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F=90.66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K=0.21 D=7.48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F=82.09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K=0.21 D=7.48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F=22.19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K=0.21 D=7.48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F=127.39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K=0.21 D=7.48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K=0.21 D=7.48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K=0.21 D=7.48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F=117.90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K=0.21 D=7.48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K=0.21 D=7.48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K=2.30 SC=0.50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746.9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1058.7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1547.1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K=2.30 SC=0.50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1259.2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1707.7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2081.7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K=2.30 SC=0.50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970.2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1000.6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949.8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K=2.30 SC=0.50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F=32.22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K=2.30 SC=0.50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1949.3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2038.9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2080.6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F=59.32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F=481.97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K=0.30 D=3.19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557.0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611.5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621.8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691.2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12948.0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13459.1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13970.2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14310.9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14651.7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14992.4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15503.5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8859.1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11414.7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9199.9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7666.6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12266.5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6474.0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7777.3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8058.4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8245.8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8433.2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8526.9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8714.3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8808.0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5622.2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7402.5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2436.3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11635.3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11902.8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12170.3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12304.0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12571.5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12705.2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12839.0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6553.2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10297.9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2674.8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21303.7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21571.2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21838.7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21972.4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22106.1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22239.9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22373.6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22507.4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6553.2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19966.3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20501.3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20902.5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2674.8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11459.0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11459.0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11459.0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41225.1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41225.1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41225.1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41.50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41.50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92049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93951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95723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96706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97020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97178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96642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74244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94664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81135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84994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87711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89948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52614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54516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56289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57272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57585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57207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55230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55.98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55.98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55.98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50824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52726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54498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55481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55795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55953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55417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53439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41155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43057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44830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46126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46284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45748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43771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14.48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2006[办公-普通办公室]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12730.8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21799.0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F=35.08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K=0.21 D=7.48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K=0.21 D=7.48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F=32.15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K=0.21 D=7.48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K=2.30 SC=0.50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619.9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661.7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K=2.30 SC=0.50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K=2.30 SC=0.50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1103.6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1138.1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1080.3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2977.5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3095.0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3212.5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1488.7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1788.4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1853.1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1896.2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2675.6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2737.1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2798.6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615.1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4898.9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4960.4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5021.9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5052.7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5114.2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5145.0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5175.7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615.1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2635.1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2635.1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2635.1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9480.0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9480.0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9480.0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9480.0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9480.0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9480.0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9480.0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9480.0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21111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21475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21741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12043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12672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12.87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12.87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12.87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12.87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11632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11995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12261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9408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9772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10037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3.33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2011[办公-普通办公室]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8905.6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14987.9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F=26.07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K=0.21 D=7.48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F=26.47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K=0.21 D=7.48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K=0.21 D=7.48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K=2.30 SC=0.50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531.5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542.3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K=2.30 SC=0.50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887.2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914.9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868.5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K=2.30 SC=0.50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445.8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1997.1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2075.9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2154.7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998.5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1199.6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1242.9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1271.8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1794.6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1835.9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1877.1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3285.8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3327.1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3368.3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1767.4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1767.4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1767.4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6358.5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6358.5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6358.5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6.40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6.40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14792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14875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14988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8709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8793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8906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8.63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8.63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8.63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8433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8517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8629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6942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7025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7138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2.23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2017[办公-普通办公室]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8670.7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F=78.40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D=8.72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F=83.94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K=0.21 D=7.48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F=83.94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K=0.21 D=7.48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F=78.34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K=0.30 D=3.19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1237.8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1284.9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595.4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715.3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741.1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758.4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1070.1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1094.7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1119.3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1959.3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1983.9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2008.5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1053.9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1053.9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1053.9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3791.5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3791.5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3791.5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8278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8371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8454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4744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4827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4579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1.33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2021[办公-普通办公室]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F=45.23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D=8.72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K=0.21 D=7.48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K=0.21 D=7.48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F=45.25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K=0.30 D=3.19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687.8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715.0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742.1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618.1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632.3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646.5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1131.7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1145.9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1160.1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608.7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608.7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608.7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2189.9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2189.9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2189.9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0.77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2036[办公-普通办公室]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K=0.21 D=7.48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K=0.21 D=7.48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K=2.30 SC=0.50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K=2.30 SC=0.50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609.8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609.8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609.8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2041[办公-普通办公室]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K=0.30 D=3.19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3009[办公-普通办公室]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9819.2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16442.7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F=165.21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D=8.72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511.1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F=31.24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K=0.21 D=7.48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K=0.21 D=7.48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K=2.30 SC=0.50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1165.1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1201.6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1140.6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K=2.30 SC=0.50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2174.8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2260.6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2346.5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1087.4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1306.3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1353.5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1385.0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1954.3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2044.2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3578.2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3623.2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3668.1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1924.7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1924.7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1924.7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6924.3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6924.3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6924.3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6924.3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6924.3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6924.3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6924.3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6924.3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16118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16345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16443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9495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9722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9819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9194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9421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9518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7570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7797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7894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2.43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3010[办公-普通办公室]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9951.1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16290.1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F=158.11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D=8.72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499.9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F=40.95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K=0.21 D=7.48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K=0.21 D=7.48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K=0.21 D=7.48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K=2.30 SC=0.50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746.9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781.3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797.3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K=2.30 SC=0.50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385.6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563.6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K=2.30 SC=0.50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456.2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2081.4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2163.5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2245.7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1250.2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1295.4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1325.5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1870.3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1913.3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1956.3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3424.5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3467.5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3510.5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1842.0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1842.0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1842.0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6626.8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6626.8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6626.8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15476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15810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16122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9137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9471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9783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8849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9183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9496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7295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7629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7941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2.33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3014[办公-普通办公室]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6710.0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11355.5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F=100.63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D=8.72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F=44.29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K=0.21 D=7.48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K=0.21 D=7.48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K=0.21 D=7.48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K=2.30 SC=0.50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659.7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704.1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F=90.93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1525.3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1585.5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1645.8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762.7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916.2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949.3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971.4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1370.7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1402.2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1433.7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2509.7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2541.2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2572.7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1349.9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1349.9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1349.9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4856.5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4856.5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4856.5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10969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11120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6324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6474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6594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6113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6263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6384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4974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5124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5245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1.71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3019[办公-普通办公室]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F=59.50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D=8.72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K=0.21 D=7.48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K=0.21 D=7.48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K=0.21 D=7.48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K=2.30 SC=0.50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456.2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K=2.30 SC=0.50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445.8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K=2.30 SC=0.50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783.3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814.2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845.1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487.5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498.8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703.9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736.2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1288.7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1304.9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1321.1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693.2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693.2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693.2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2493.8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2493.8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2493.8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6338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6291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6324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3037[办公-普通办公室]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D=8.72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K=0.21 D=7.48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K=2.30 SC=0.50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  <w:bookmarkEnd w:id="0"/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3042[办公-普通办公室]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D=8.72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F=25.99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</w:tr>
      <w:bookmarkEnd w:id="19"/>
    </w:tbl>
    <w:p>
      <w:pPr>
        <w:rPr>
          <w:szCs w:val="24"/>
          <w:lang w:val="en-US"/>
        </w:rPr>
      </w:pPr>
    </w:p>
    <w:p>
      <w:pPr>
        <w:rPr>
          <w:szCs w:val="24"/>
          <w:lang w:val="en-US"/>
        </w:rPr>
      </w:pPr>
    </w:p>
    <w:sectPr>
      <w:footerReference r:id="rId6" w:type="default"/>
      <w:pgSz w:w="16838" w:h="11906" w:orient="landscape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97539495"/>
      <w:docPartObj>
        <w:docPartGallery w:val="AutoText"/>
      </w:docPartObj>
    </w:sdtPr>
    <w:sdtContent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97539495"/>
      <w:docPartObj>
        <w:docPartGallery w:val="AutoText"/>
      </w:docPartObj>
    </w:sdtPr>
    <w:sdtContent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冷负荷</w:t>
    </w:r>
    <w:r>
      <w:t>计算书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attachedTemplate r:id="rId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3A5895"/>
    <w:rsid w:val="001915A3"/>
    <w:rsid w:val="00217F62"/>
    <w:rsid w:val="00A906D8"/>
    <w:rsid w:val="00AB5A74"/>
    <w:rsid w:val="00F071AE"/>
    <w:rsid w:val="3C3A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Hyperlink"/>
    <w:uiPriority w:val="0"/>
    <w:rPr>
      <w:color w:val="0000FF"/>
      <w:u w:val="single"/>
    </w:rPr>
  </w:style>
  <w:style w:type="character" w:customStyle="1" w:styleId="22">
    <w:name w:val="页脚 Char"/>
    <w:basedOn w:val="20"/>
    <w:link w:val="14"/>
    <w:uiPriority w:val="99"/>
    <w:rPr>
      <w:sz w:val="21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image" Target="media/image2.bmp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5" Type="http://schemas.openxmlformats.org/officeDocument/2006/relationships/fontTable" Target="fontTable.xml"/><Relationship Id="rId34" Type="http://schemas.openxmlformats.org/officeDocument/2006/relationships/numbering" Target="numbering.xml"/><Relationship Id="rId33" Type="http://schemas.openxmlformats.org/officeDocument/2006/relationships/customXml" Target="../customXml/item1.xml"/><Relationship Id="rId32" Type="http://schemas.openxmlformats.org/officeDocument/2006/relationships/image" Target="media/image26.wmf"/><Relationship Id="rId31" Type="http://schemas.openxmlformats.org/officeDocument/2006/relationships/image" Target="media/image25.wmf"/><Relationship Id="rId30" Type="http://schemas.openxmlformats.org/officeDocument/2006/relationships/image" Target="media/image24.wmf"/><Relationship Id="rId3" Type="http://schemas.openxmlformats.org/officeDocument/2006/relationships/header" Target="header1.xml"/><Relationship Id="rId29" Type="http://schemas.openxmlformats.org/officeDocument/2006/relationships/image" Target="media/image23.wmf"/><Relationship Id="rId28" Type="http://schemas.openxmlformats.org/officeDocument/2006/relationships/image" Target="media/image22.wmf"/><Relationship Id="rId27" Type="http://schemas.openxmlformats.org/officeDocument/2006/relationships/image" Target="media/image21.wmf"/><Relationship Id="rId26" Type="http://schemas.openxmlformats.org/officeDocument/2006/relationships/image" Target="media/image20.wmf"/><Relationship Id="rId25" Type="http://schemas.openxmlformats.org/officeDocument/2006/relationships/image" Target="media/image19.wmf"/><Relationship Id="rId24" Type="http://schemas.openxmlformats.org/officeDocument/2006/relationships/image" Target="media/image18.wmf"/><Relationship Id="rId23" Type="http://schemas.openxmlformats.org/officeDocument/2006/relationships/image" Target="media/image17.wmf"/><Relationship Id="rId22" Type="http://schemas.openxmlformats.org/officeDocument/2006/relationships/image" Target="media/image16.wmf"/><Relationship Id="rId21" Type="http://schemas.openxmlformats.org/officeDocument/2006/relationships/image" Target="media/image15.wmf"/><Relationship Id="rId20" Type="http://schemas.openxmlformats.org/officeDocument/2006/relationships/image" Target="media/image14.wmf"/><Relationship Id="rId2" Type="http://schemas.openxmlformats.org/officeDocument/2006/relationships/settings" Target="settings.xml"/><Relationship Id="rId19" Type="http://schemas.openxmlformats.org/officeDocument/2006/relationships/image" Target="media/image13.wmf"/><Relationship Id="rId18" Type="http://schemas.openxmlformats.org/officeDocument/2006/relationships/image" Target="media/image12.wmf"/><Relationship Id="rId17" Type="http://schemas.openxmlformats.org/officeDocument/2006/relationships/image" Target="media/image11.wmf"/><Relationship Id="rId16" Type="http://schemas.openxmlformats.org/officeDocument/2006/relationships/image" Target="media/image10.wmf"/><Relationship Id="rId15" Type="http://schemas.openxmlformats.org/officeDocument/2006/relationships/image" Target="media/image9.wmf"/><Relationship Id="rId14" Type="http://schemas.openxmlformats.org/officeDocument/2006/relationships/image" Target="media/image8.wmf"/><Relationship Id="rId13" Type="http://schemas.openxmlformats.org/officeDocument/2006/relationships/image" Target="media/image7.wmf"/><Relationship Id="rId12" Type="http://schemas.openxmlformats.org/officeDocument/2006/relationships/image" Target="media/image6.wmf"/><Relationship Id="rId11" Type="http://schemas.openxmlformats.org/officeDocument/2006/relationships/image" Target="media/image5.wmf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NLI~1\AppData\Local\Temp\tmp5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tmp5.dotx</Template>
  <Pages>51</Pages>
  <Words>26952</Words>
  <Characters>77258</Characters>
  <Lines>8</Lines>
  <Paragraphs>2</Paragraphs>
  <TotalTime>1</TotalTime>
  <ScaleCrop>false</ScaleCrop>
  <LinksUpToDate>false</LinksUpToDate>
  <CharactersWithSpaces>77820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2021-12-21T04:46:00Z</dcterms:created>
  <dc:creator>城</dc:creator>
  <cp:lastModifiedBy>城</cp:lastModifiedBy>
  <dcterms:modified xsi:type="dcterms:W3CDTF">2021-12-21T04:47:47Z</dcterms:modified>
  <dc:title>冷负荷计算书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E94DB49503A449C2A30CA6001D560FD5</vt:lpwstr>
  </property>
  <property fmtid="{D5CDD505-2E9C-101B-9397-08002B2CF9AE}" pid="3" name="KSOProductBuildVer">
    <vt:lpwstr>2052-11.1.0.11194</vt:lpwstr>
  </property>
</Properties>
</file>