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bmp" ContentType="image/bmp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</w:pPr>
    </w:p>
    <w:p>
      <w:pPr>
        <w:jc w:val="center"/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室内</w:t>
      </w:r>
      <w:r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有机挥发物</w:t>
      </w:r>
      <w:r>
        <w:rPr>
          <w:rFonts w:hint="eastAsia"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浓度</w:t>
      </w:r>
    </w:p>
    <w:p>
      <w:pPr>
        <w:jc w:val="center"/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</w:pPr>
      <w:r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报告书</w:t>
      </w:r>
    </w:p>
    <w:p>
      <w:pPr>
        <w:jc w:val="center"/>
        <w:rPr>
          <w:rFonts w:ascii="Times New Roman" w:hAnsi="Times New Roman" w:eastAsia="黑体" w:cs="Times New Roman"/>
          <w:b/>
          <w:sz w:val="56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67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cs="Times New Roman"/>
                <w:szCs w:val="21"/>
              </w:rPr>
            </w:pPr>
            <w:bookmarkStart w:id="0" w:name="项目名称"/>
            <w:r>
              <w:t>工业博物馆</w:t>
            </w:r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bookmarkStart w:id="1" w:name="项目地点"/>
            <w:r>
              <w:rPr>
                <w:rFonts w:ascii="Times New Roman" w:hAnsi="Times New Roman" w:cs="Times New Roman"/>
              </w:rPr>
              <w:t>沈阳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bookmarkStart w:id="2" w:name="设计编号"/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bookmarkStart w:id="3" w:name="建设单位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bookmarkStart w:id="4" w:name="设计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bookmarkStart w:id="5" w:name="报告日期"/>
            <w:r>
              <w:rPr>
                <w:rFonts w:ascii="Times New Roman" w:hAnsi="Times New Roman" w:cs="Times New Roman"/>
                <w:szCs w:val="21"/>
              </w:rPr>
              <w:t>2022年03月10日</w:t>
            </w:r>
            <w:bookmarkEnd w:id="5"/>
          </w:p>
        </w:tc>
      </w:tr>
    </w:tbl>
    <w:p>
      <w:pPr>
        <w:jc w:val="center"/>
        <w:rPr>
          <w:rFonts w:ascii="Times New Roman" w:hAnsi="Times New Roman" w:cs="Times New Roman"/>
          <w:b/>
          <w:sz w:val="56"/>
        </w:rPr>
      </w:pPr>
      <w:bookmarkStart w:id="6" w:name="二维码"/>
      <w:bookmarkEnd w:id="6"/>
      <w:r>
        <w:drawing>
          <wp:inline distT="0" distB="0" distL="0" distR="0">
            <wp:extent cx="1628775" cy="1628775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Times New Roman" w:hAnsi="Times New Roman" w:cs="Times New Roman"/>
          <w:b/>
          <w:sz w:val="56"/>
        </w:rPr>
      </w:pPr>
    </w:p>
    <w:tbl>
      <w:tblPr>
        <w:tblStyle w:val="19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widowControl/>
              <w:spacing w:line="240" w:lineRule="atLeast"/>
              <w:rPr>
                <w:rFonts w:ascii="宋体" w:hAnsi="宋体"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ascii="宋体" w:hAnsi="宋体" w:cs="Times New Roman"/>
                <w:kern w:val="0"/>
                <w:sz w:val="18"/>
                <w:szCs w:val="18"/>
                <w:lang w:val="en-GB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ascii="宋体" w:hAnsi="宋体"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ascii="宋体" w:hAnsi="宋体" w:cs="Times New Roman"/>
                <w:kern w:val="0"/>
                <w:sz w:val="18"/>
                <w:szCs w:val="18"/>
                <w:lang w:val="en-GB"/>
              </w:rPr>
              <w:t>绿建斯维尔</w:t>
            </w:r>
            <w:bookmarkStart w:id="7" w:name="采用软件"/>
            <w:r>
              <w:rPr>
                <w:rFonts w:hint="eastAsia" w:ascii="宋体" w:hAnsi="宋体" w:cs="Times New Roman"/>
                <w:kern w:val="0"/>
                <w:sz w:val="18"/>
                <w:szCs w:val="18"/>
                <w:lang w:val="en-GB"/>
              </w:rPr>
              <w:t>建筑通风Vent2020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/>
              <w:spacing w:line="240" w:lineRule="atLeast"/>
              <w:rPr>
                <w:rFonts w:ascii="宋体" w:hAnsi="宋体"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ascii="宋体" w:hAnsi="宋体" w:cs="Times New Roman"/>
                <w:kern w:val="0"/>
                <w:sz w:val="18"/>
                <w:szCs w:val="18"/>
                <w:lang w:val="en-GB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rPr>
                <w:rFonts w:ascii="宋体" w:hAnsi="宋体" w:cs="Times New Roman"/>
                <w:kern w:val="0"/>
                <w:sz w:val="18"/>
                <w:szCs w:val="18"/>
                <w:lang w:val="en-GB"/>
              </w:rPr>
            </w:pPr>
            <w:bookmarkStart w:id="8" w:name="软件版本"/>
            <w:r>
              <w:t>20200606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/>
              <w:spacing w:line="240" w:lineRule="atLeast"/>
              <w:rPr>
                <w:rFonts w:ascii="宋体" w:hAnsi="宋体"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ascii="宋体" w:hAnsi="宋体" w:cs="Times New Roman"/>
                <w:kern w:val="0"/>
                <w:sz w:val="18"/>
                <w:szCs w:val="18"/>
                <w:lang w:val="en-GB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tLeast"/>
              <w:rPr>
                <w:rFonts w:ascii="宋体" w:hAnsi="宋体"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ascii="宋体" w:hAnsi="宋体" w:cs="Times New Roman"/>
                <w:kern w:val="0"/>
                <w:sz w:val="18"/>
                <w:szCs w:val="18"/>
                <w:lang w:val="en-GB"/>
              </w:rPr>
              <w:t>北京绿建软件</w:t>
            </w:r>
            <w:r>
              <w:rPr>
                <w:rFonts w:hint="eastAsia" w:ascii="宋体" w:hAnsi="宋体" w:cs="Times New Roman"/>
                <w:kern w:val="0"/>
                <w:sz w:val="18"/>
                <w:szCs w:val="18"/>
                <w:lang w:val="en-GB"/>
              </w:rPr>
              <w:t>股份</w:t>
            </w:r>
            <w:r>
              <w:rPr>
                <w:rFonts w:ascii="宋体" w:hAnsi="宋体" w:cs="Times New Roman"/>
                <w:kern w:val="0"/>
                <w:sz w:val="18"/>
                <w:szCs w:val="18"/>
                <w:lang w:val="en-GB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/>
              <w:spacing w:line="240" w:lineRule="atLeast"/>
              <w:rPr>
                <w:rFonts w:ascii="宋体" w:hAnsi="宋体"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ascii="宋体" w:hAnsi="宋体" w:cs="Times New Roman"/>
                <w:kern w:val="0"/>
                <w:sz w:val="18"/>
                <w:szCs w:val="18"/>
                <w:lang w:val="en-GB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szCs w:val="18"/>
              </w:rPr>
            </w:pPr>
            <w:bookmarkStart w:id="9" w:name="加密锁号"/>
            <w:r>
              <w:t>T13897938950</w:t>
            </w:r>
            <w:bookmarkEnd w:id="9"/>
          </w:p>
        </w:tc>
      </w:tr>
    </w:tbl>
    <w:p>
      <w:pPr>
        <w:jc w:val="center"/>
        <w:rPr>
          <w:rFonts w:ascii="Times New Roman" w:hAnsi="Times New Roman" w:cs="Times New Roman"/>
          <w:b/>
          <w:sz w:val="56"/>
        </w:rPr>
      </w:pPr>
    </w:p>
    <w:p>
      <w:pPr>
        <w:jc w:val="center"/>
        <w:rPr>
          <w:rFonts w:ascii="Times New Roman" w:hAnsi="Times New Roman" w:cs="Times New Roman"/>
          <w:b/>
          <w:sz w:val="56"/>
        </w:rPr>
      </w:pPr>
    </w:p>
    <w:p>
      <w:pPr>
        <w:tabs>
          <w:tab w:val="left" w:pos="1052"/>
        </w:tabs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>
      <w:pPr>
        <w:rPr>
          <w:rFonts w:ascii="Times New Roman" w:hAnsi="Times New Roman" w:cs="Times New Roman"/>
        </w:rPr>
      </w:pPr>
    </w:p>
    <w:p>
      <w:pPr>
        <w:pStyle w:val="36"/>
        <w:ind w:right="821" w:rightChars="391"/>
        <w:jc w:val="center"/>
        <w:rPr>
          <w:rFonts w:ascii="Times New Roman" w:hAnsi="Times New Roman" w:eastAsia="黑体"/>
          <w:color w:val="auto"/>
          <w:sz w:val="32"/>
        </w:rPr>
      </w:pPr>
      <w:r>
        <w:rPr>
          <w:rFonts w:ascii="Times New Roman" w:hAnsi="Times New Roman" w:eastAsia="黑体"/>
          <w:color w:val="auto"/>
          <w:sz w:val="32"/>
          <w:lang w:val="zh-CN" w:eastAsia="zh-CN"/>
        </w:rPr>
        <w:t>目录</w:t>
      </w:r>
    </w:p>
    <w:p>
      <w:pPr>
        <w:pStyle w:val="16"/>
        <w:tabs>
          <w:tab w:val="right" w:leader="dot" w:pos="7910"/>
        </w:tabs>
      </w:pPr>
      <w:bookmarkStart w:id="10" w:name="目录"/>
      <w:bookmarkStart w:id="35" w:name="_GoBack"/>
      <w:r>
        <w:rPr>
          <w:caps/>
          <w:sz w:val="36"/>
          <w:szCs w:val="20"/>
        </w:rPr>
        <w:fldChar w:fldCharType="begin"/>
      </w:r>
      <w:r>
        <w:rPr>
          <w:sz w:val="36"/>
        </w:rPr>
        <w:instrText xml:space="preserve"> TOC \o "1-3" \h \z \u </w:instrText>
      </w:r>
      <w:r>
        <w:rPr>
          <w:caps/>
          <w:sz w:val="36"/>
          <w:szCs w:val="20"/>
        </w:rPr>
        <w:fldChar w:fldCharType="separate"/>
      </w:r>
      <w:r>
        <w:rPr>
          <w:caps/>
          <w:szCs w:val="20"/>
        </w:rPr>
        <w:fldChar w:fldCharType="begin"/>
      </w:r>
      <w:r>
        <w:rPr>
          <w:caps/>
          <w:szCs w:val="20"/>
        </w:rPr>
        <w:instrText xml:space="preserve"> HYPERLINK \l _Toc7420 </w:instrText>
      </w:r>
      <w:r>
        <w:rPr>
          <w:caps/>
          <w:szCs w:val="20"/>
        </w:rPr>
        <w:fldChar w:fldCharType="separate"/>
      </w:r>
      <w:r>
        <w:rPr>
          <w:rFonts w:hint="default" w:ascii="黑体" w:hAnsi="黑体" w:cs="Times New Roman"/>
          <w:kern w:val="32"/>
          <w:szCs w:val="28"/>
        </w:rPr>
        <w:t xml:space="preserve">1. </w:t>
      </w:r>
      <w:r>
        <w:rPr>
          <w:rFonts w:ascii="黑体" w:hAnsi="黑体" w:cs="Times New Roman"/>
          <w:kern w:val="32"/>
          <w:szCs w:val="28"/>
        </w:rPr>
        <w:t>项目概况</w:t>
      </w:r>
      <w:r>
        <w:tab/>
      </w:r>
      <w:r>
        <w:fldChar w:fldCharType="begin"/>
      </w:r>
      <w:r>
        <w:instrText xml:space="preserve"> PAGEREF _Toc7420 \h </w:instrText>
      </w:r>
      <w:r>
        <w:fldChar w:fldCharType="separate"/>
      </w:r>
      <w:r>
        <w:t>3</w:t>
      </w:r>
      <w:r>
        <w:fldChar w:fldCharType="end"/>
      </w:r>
      <w:r>
        <w:rPr>
          <w:caps/>
          <w:szCs w:val="20"/>
        </w:rPr>
        <w:fldChar w:fldCharType="end"/>
      </w:r>
    </w:p>
    <w:p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_Toc4055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</w:rPr>
        <w:t xml:space="preserve">1.1 </w:t>
      </w:r>
      <w:r>
        <w:rPr>
          <w:rFonts w:ascii="Times New Roman" w:hAnsi="Times New Roman"/>
          <w:szCs w:val="24"/>
        </w:rPr>
        <w:t>建筑基本信息</w:t>
      </w:r>
      <w:r>
        <w:tab/>
      </w:r>
      <w:r>
        <w:fldChar w:fldCharType="begin"/>
      </w:r>
      <w:r>
        <w:instrText xml:space="preserve"> PAGEREF _Toc4055 \h </w:instrText>
      </w:r>
      <w:r>
        <w:fldChar w:fldCharType="separate"/>
      </w:r>
      <w:r>
        <w:t>3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_Toc4576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</w:rPr>
        <w:t xml:space="preserve">1.2 </w:t>
      </w:r>
      <w:r>
        <w:rPr>
          <w:rFonts w:ascii="Times New Roman" w:hAnsi="Times New Roman"/>
          <w:szCs w:val="24"/>
          <w:lang w:eastAsia="zh-CN"/>
        </w:rPr>
        <w:t>建筑平面</w:t>
      </w:r>
      <w:r>
        <w:rPr>
          <w:rFonts w:ascii="Times New Roman" w:hAnsi="Times New Roman"/>
          <w:szCs w:val="24"/>
        </w:rPr>
        <w:t>图</w:t>
      </w:r>
      <w:r>
        <w:tab/>
      </w:r>
      <w:r>
        <w:fldChar w:fldCharType="begin"/>
      </w:r>
      <w:r>
        <w:instrText xml:space="preserve"> PAGEREF _Toc4576 \h </w:instrText>
      </w:r>
      <w:r>
        <w:fldChar w:fldCharType="separate"/>
      </w:r>
      <w:r>
        <w:t>3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_Toc2854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</w:rPr>
        <w:t xml:space="preserve">1.3 </w:t>
      </w:r>
      <w:r>
        <w:rPr>
          <w:rFonts w:ascii="Times New Roman" w:hAnsi="Times New Roman"/>
          <w:szCs w:val="24"/>
          <w:lang w:eastAsia="zh-CN"/>
        </w:rPr>
        <w:t>建筑</w:t>
      </w:r>
      <w:r>
        <w:rPr>
          <w:rFonts w:ascii="Times New Roman" w:hAnsi="Times New Roman"/>
          <w:szCs w:val="24"/>
        </w:rPr>
        <w:t>三维轴测图</w:t>
      </w:r>
      <w:r>
        <w:tab/>
      </w:r>
      <w:r>
        <w:fldChar w:fldCharType="begin"/>
      </w:r>
      <w:r>
        <w:instrText xml:space="preserve"> PAGEREF _Toc2854 \h </w:instrText>
      </w:r>
      <w:r>
        <w:fldChar w:fldCharType="separate"/>
      </w:r>
      <w:r>
        <w:t>6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_Toc13215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2 </w:t>
      </w:r>
      <w:r>
        <w:rPr>
          <w:rFonts w:ascii="Times New Roman" w:hAnsi="Times New Roman" w:cs="Times New Roman"/>
          <w:kern w:val="32"/>
          <w:szCs w:val="28"/>
        </w:rPr>
        <w:t>参考标准</w:t>
      </w:r>
      <w:r>
        <w:tab/>
      </w:r>
      <w:r>
        <w:fldChar w:fldCharType="begin"/>
      </w:r>
      <w:r>
        <w:instrText xml:space="preserve"> PAGEREF _Toc13215 \h </w:instrText>
      </w:r>
      <w:r>
        <w:fldChar w:fldCharType="separate"/>
      </w:r>
      <w:r>
        <w:t>7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_Toc1541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3 </w:t>
      </w:r>
      <w:r>
        <w:rPr>
          <w:rFonts w:ascii="Times New Roman" w:hAnsi="Times New Roman" w:cs="Times New Roman"/>
          <w:kern w:val="32"/>
          <w:szCs w:val="28"/>
        </w:rPr>
        <w:t>评价标准</w:t>
      </w:r>
      <w:r>
        <w:tab/>
      </w:r>
      <w:r>
        <w:fldChar w:fldCharType="begin"/>
      </w:r>
      <w:r>
        <w:instrText xml:space="preserve"> PAGEREF _Toc1541 \h </w:instrText>
      </w:r>
      <w:r>
        <w:fldChar w:fldCharType="separate"/>
      </w:r>
      <w:r>
        <w:t>7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_Toc20817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4 </w:t>
      </w:r>
      <w:r>
        <w:rPr>
          <w:rFonts w:ascii="Times New Roman" w:hAnsi="Times New Roman" w:cs="Times New Roman"/>
          <w:kern w:val="32"/>
          <w:szCs w:val="28"/>
        </w:rPr>
        <w:t>计算原理</w:t>
      </w:r>
      <w:r>
        <w:tab/>
      </w:r>
      <w:r>
        <w:fldChar w:fldCharType="begin"/>
      </w:r>
      <w:r>
        <w:instrText xml:space="preserve"> PAGEREF _Toc20817 \h </w:instrText>
      </w:r>
      <w:r>
        <w:fldChar w:fldCharType="separate"/>
      </w:r>
      <w:r>
        <w:t>8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_Toc30244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5 </w:t>
      </w:r>
      <w:r>
        <w:rPr>
          <w:rFonts w:ascii="Times New Roman" w:hAnsi="Times New Roman" w:cs="Times New Roman"/>
          <w:kern w:val="32"/>
          <w:szCs w:val="28"/>
        </w:rPr>
        <w:t>计算参数</w:t>
      </w:r>
      <w:r>
        <w:tab/>
      </w:r>
      <w:r>
        <w:fldChar w:fldCharType="begin"/>
      </w:r>
      <w:r>
        <w:instrText xml:space="preserve"> PAGEREF _Toc30244 \h </w:instrText>
      </w:r>
      <w:r>
        <w:fldChar w:fldCharType="separate"/>
      </w:r>
      <w:r>
        <w:t>8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_Toc18678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  <w:lang w:eastAsia="zh-CN"/>
        </w:rPr>
        <w:t xml:space="preserve">5.1 </w:t>
      </w:r>
      <w:r>
        <w:rPr>
          <w:rFonts w:ascii="Times New Roman" w:hAnsi="Times New Roman"/>
          <w:szCs w:val="24"/>
          <w:lang w:eastAsia="zh-CN"/>
        </w:rPr>
        <w:t>渗透风量</w:t>
      </w:r>
      <w:r>
        <w:tab/>
      </w:r>
      <w:r>
        <w:fldChar w:fldCharType="begin"/>
      </w:r>
      <w:r>
        <w:instrText xml:space="preserve"> PAGEREF _Toc18678 \h </w:instrText>
      </w:r>
      <w:r>
        <w:fldChar w:fldCharType="separate"/>
      </w:r>
      <w:r>
        <w:t>8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_Toc19534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  <w:lang w:eastAsia="zh-CN"/>
        </w:rPr>
        <w:t xml:space="preserve">5.2 </w:t>
      </w:r>
      <w:r>
        <w:rPr>
          <w:rFonts w:ascii="Times New Roman" w:hAnsi="Times New Roman"/>
          <w:szCs w:val="24"/>
          <w:lang w:eastAsia="zh-CN"/>
        </w:rPr>
        <w:t>室内装修信息</w:t>
      </w:r>
      <w:r>
        <w:tab/>
      </w:r>
      <w:r>
        <w:fldChar w:fldCharType="begin"/>
      </w:r>
      <w:r>
        <w:instrText xml:space="preserve"> PAGEREF _Toc19534 \h </w:instrText>
      </w:r>
      <w:r>
        <w:fldChar w:fldCharType="separate"/>
      </w:r>
      <w:r>
        <w:t>9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_Toc20435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6 </w:t>
      </w:r>
      <w:r>
        <w:rPr>
          <w:rFonts w:ascii="Times New Roman" w:hAnsi="Times New Roman" w:cs="Times New Roman"/>
          <w:kern w:val="32"/>
          <w:szCs w:val="28"/>
        </w:rPr>
        <w:t>计算结果</w:t>
      </w:r>
      <w:r>
        <w:tab/>
      </w:r>
      <w:r>
        <w:fldChar w:fldCharType="begin"/>
      </w:r>
      <w:r>
        <w:instrText xml:space="preserve"> PAGEREF _Toc20435 \h </w:instrText>
      </w:r>
      <w:r>
        <w:fldChar w:fldCharType="separate"/>
      </w:r>
      <w:r>
        <w:t>9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_Toc22986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7 </w:t>
      </w:r>
      <w:r>
        <w:rPr>
          <w:rFonts w:ascii="Times New Roman" w:hAnsi="Times New Roman" w:cs="Times New Roman"/>
          <w:kern w:val="32"/>
          <w:szCs w:val="28"/>
        </w:rPr>
        <w:t>结论</w:t>
      </w:r>
      <w:r>
        <w:tab/>
      </w:r>
      <w:r>
        <w:fldChar w:fldCharType="begin"/>
      </w:r>
      <w:r>
        <w:instrText xml:space="preserve"> PAGEREF _Toc22986 \h </w:instrText>
      </w:r>
      <w:r>
        <w:fldChar w:fldCharType="separate"/>
      </w:r>
      <w:r>
        <w:t>11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>
      <w:pPr>
        <w:spacing w:line="360" w:lineRule="auto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Cs/>
          <w:lang w:val="zh-CN"/>
        </w:rPr>
        <w:fldChar w:fldCharType="end"/>
      </w:r>
      <w:bookmarkEnd w:id="35"/>
      <w:bookmarkEnd w:id="10"/>
    </w:p>
    <w:p>
      <w:pPr>
        <w:rPr>
          <w:rFonts w:ascii="Times New Roman" w:hAnsi="Times New Roman" w:cs="Times New Roman"/>
          <w:sz w:val="32"/>
        </w:rPr>
      </w:pPr>
    </w:p>
    <w:p>
      <w:pPr>
        <w:rPr>
          <w:rFonts w:ascii="Times New Roman" w:hAnsi="Times New Roman" w:cs="Times New Roman"/>
          <w:sz w:val="32"/>
        </w:rPr>
      </w:pPr>
    </w:p>
    <w:p>
      <w:pPr>
        <w:rPr>
          <w:rFonts w:ascii="Times New Roman" w:hAnsi="Times New Roman" w:cs="Times New Roman"/>
          <w:sz w:val="32"/>
        </w:rPr>
      </w:pPr>
    </w:p>
    <w:p>
      <w:pPr>
        <w:rPr>
          <w:rFonts w:ascii="Times New Roman" w:hAnsi="Times New Roman" w:cs="Times New Roman"/>
          <w:sz w:val="32"/>
        </w:rPr>
      </w:pPr>
    </w:p>
    <w:p>
      <w:pPr>
        <w:jc w:val="center"/>
        <w:rPr>
          <w:rFonts w:ascii="Times New Roman" w:hAnsi="Times New Roman" w:cs="Times New Roman"/>
          <w:sz w:val="32"/>
        </w:rPr>
      </w:pPr>
    </w:p>
    <w:p>
      <w:pPr>
        <w:rPr>
          <w:rFonts w:ascii="Times New Roman" w:hAnsi="Times New Roman" w:cs="Times New Roman"/>
          <w:sz w:val="32"/>
        </w:rPr>
      </w:pPr>
    </w:p>
    <w:p>
      <w:pPr>
        <w:rPr>
          <w:rFonts w:ascii="Times New Roman" w:hAnsi="Times New Roman" w:cs="Times New Roman"/>
          <w:sz w:val="32"/>
        </w:rPr>
        <w:sectPr>
          <w:footerReference r:id="rId7" w:type="first"/>
          <w:headerReference r:id="rId3" w:type="default"/>
          <w:footerReference r:id="rId5" w:type="default"/>
          <w:headerReference r:id="rId4" w:type="even"/>
          <w:footerReference r:id="rId6" w:type="even"/>
          <w:pgSz w:w="11907" w:h="16839"/>
          <w:pgMar w:top="1440" w:right="1800" w:bottom="1440" w:left="1800" w:header="851" w:footer="170" w:gutter="397"/>
          <w:cols w:space="720" w:num="1"/>
          <w:titlePg/>
          <w:docGrid w:type="lines" w:linePitch="312" w:charSpace="0"/>
        </w:sectPr>
      </w:pPr>
    </w:p>
    <w:p>
      <w:pPr>
        <w:spacing w:before="156"/>
        <w:rPr>
          <w:rFonts w:ascii="Times New Roman" w:hAnsi="Times New Roman" w:cs="Times New Roman"/>
        </w:rPr>
      </w:pPr>
    </w:p>
    <w:p>
      <w:pPr>
        <w:pStyle w:val="2"/>
        <w:keepLines w:val="0"/>
        <w:widowControl/>
        <w:numPr>
          <w:ilvl w:val="0"/>
          <w:numId w:val="2"/>
        </w:numPr>
        <w:tabs>
          <w:tab w:val="left" w:pos="432"/>
        </w:tabs>
        <w:kinsoku w:val="0"/>
        <w:spacing w:before="240" w:after="60" w:line="240" w:lineRule="auto"/>
        <w:ind w:left="432" w:hanging="432"/>
        <w:jc w:val="left"/>
        <w:rPr>
          <w:rFonts w:ascii="黑体" w:hAnsi="黑体" w:cs="Times New Roman"/>
          <w:kern w:val="32"/>
          <w:sz w:val="28"/>
          <w:szCs w:val="28"/>
        </w:rPr>
      </w:pPr>
      <w:bookmarkStart w:id="11" w:name="_Toc7420"/>
      <w:r>
        <w:rPr>
          <w:rFonts w:ascii="黑体" w:hAnsi="黑体" w:cs="Times New Roman"/>
          <w:kern w:val="32"/>
          <w:sz w:val="28"/>
          <w:szCs w:val="28"/>
        </w:rPr>
        <w:t>项目概况</w:t>
      </w:r>
      <w:bookmarkEnd w:id="11"/>
    </w:p>
    <w:p>
      <w:pPr>
        <w:pStyle w:val="3"/>
        <w:rPr>
          <w:rFonts w:ascii="Times New Roman" w:hAnsi="Times New Roman"/>
          <w:sz w:val="24"/>
          <w:szCs w:val="24"/>
        </w:rPr>
      </w:pPr>
      <w:bookmarkStart w:id="12" w:name="_Toc4055"/>
      <w:r>
        <w:rPr>
          <w:rFonts w:ascii="Times New Roman" w:hAnsi="Times New Roman"/>
          <w:sz w:val="24"/>
          <w:szCs w:val="24"/>
        </w:rPr>
        <w:t>建筑基本信息</w:t>
      </w:r>
      <w:bookmarkEnd w:id="12"/>
    </w:p>
    <w:tbl>
      <w:tblPr>
        <w:tblStyle w:val="19"/>
        <w:tblW w:w="764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551"/>
        <w:gridCol w:w="1134"/>
        <w:gridCol w:w="25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3" w:type="dxa"/>
            <w:shd w:val="clear" w:color="auto" w:fill="D8D8D8" w:themeFill="background1" w:themeFillShade="D9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建筑用途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8D8D8" w:themeFill="background1" w:themeFillShade="D9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地区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3" w:type="dxa"/>
            <w:shd w:val="clear" w:color="auto" w:fill="D8D8D8" w:themeFill="background1" w:themeFillShade="D9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建筑面积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8D8D8" w:themeFill="background1" w:themeFillShade="D9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层高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3" w:type="dxa"/>
            <w:shd w:val="clear" w:color="auto" w:fill="D8D8D8" w:themeFill="background1" w:themeFillShade="D9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项目周期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8D8D8" w:themeFill="background1" w:themeFillShade="D9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交付状态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</w:tbl>
    <w:p>
      <w:pPr>
        <w:rPr>
          <w:rFonts w:ascii="Times New Roman" w:hAnsi="Times New Roman" w:cs="Times New Roman"/>
          <w:lang w:val="zh-CN" w:eastAsia="zh-CN"/>
        </w:rPr>
      </w:pPr>
    </w:p>
    <w:p>
      <w:pPr>
        <w:pStyle w:val="3"/>
        <w:rPr>
          <w:rFonts w:ascii="Times New Roman" w:hAnsi="Times New Roman"/>
          <w:sz w:val="24"/>
          <w:szCs w:val="24"/>
        </w:rPr>
      </w:pPr>
      <w:bookmarkStart w:id="13" w:name="_Toc4576"/>
      <w:r>
        <w:rPr>
          <w:rFonts w:ascii="Times New Roman" w:hAnsi="Times New Roman"/>
          <w:sz w:val="24"/>
          <w:szCs w:val="24"/>
          <w:lang w:eastAsia="zh-CN"/>
        </w:rPr>
        <w:t>建筑平面</w:t>
      </w:r>
      <w:r>
        <w:rPr>
          <w:rFonts w:ascii="Times New Roman" w:hAnsi="Times New Roman"/>
          <w:sz w:val="24"/>
          <w:szCs w:val="24"/>
        </w:rPr>
        <w:t>图</w:t>
      </w:r>
      <w:bookmarkEnd w:id="13"/>
    </w:p>
    <w:p>
      <w:pPr>
        <w:rPr>
          <w:rFonts w:ascii="Times New Roman" w:hAnsi="Times New Roman" w:cs="Times New Roman"/>
          <w:highlight w:val="red"/>
          <w:lang w:val="zh-CN" w:eastAsia="zh-CN"/>
        </w:rPr>
      </w:pPr>
    </w:p>
    <w:p>
      <w:pPr>
        <w:jc w:val="center"/>
        <w:rPr>
          <w:rFonts w:ascii="Times New Roman" w:hAnsi="Times New Roman" w:cs="Times New Roman"/>
          <w:lang w:val="zh-CN" w:eastAsia="zh-CN"/>
        </w:rPr>
      </w:pP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bookmarkStart w:id="14" w:name="平面图"/>
      <w:bookmarkEnd w:id="14"/>
      <w:r>
        <w:drawing>
          <wp:inline distT="0" distB="0" distL="0" distR="0">
            <wp:extent cx="5667375" cy="7867650"/>
            <wp:effectExtent l="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86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rPr>
          <w:rFonts w:ascii="微软雅黑" w:hAnsi="微软雅黑" w:eastAsia="微软雅黑" w:cs="Times New Roman"/>
          <w:b/>
          <w:sz w:val="18"/>
          <w:lang w:val="zh-CN" w:eastAsia="zh-CN"/>
        </w:rPr>
        <w:t>1层平面</w:t>
      </w: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drawing>
          <wp:inline distT="0" distB="0" distL="0" distR="0">
            <wp:extent cx="5667375" cy="6858000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rPr>
          <w:rFonts w:ascii="微软雅黑" w:hAnsi="微软雅黑" w:eastAsia="微软雅黑" w:cs="Times New Roman"/>
          <w:b/>
          <w:sz w:val="18"/>
          <w:lang w:val="zh-CN" w:eastAsia="zh-CN"/>
        </w:rPr>
        <w:t>2层平面</w:t>
      </w: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drawing>
          <wp:inline distT="0" distB="0" distL="0" distR="0">
            <wp:extent cx="5667375" cy="6858000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rPr>
          <w:rFonts w:ascii="微软雅黑" w:hAnsi="微软雅黑" w:eastAsia="微软雅黑" w:cs="Times New Roman"/>
          <w:b/>
          <w:sz w:val="18"/>
          <w:lang w:val="zh-CN" w:eastAsia="zh-CN"/>
        </w:rPr>
        <w:t>3层平面</w:t>
      </w: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</w:p>
    <w:p>
      <w:pPr>
        <w:jc w:val="center"/>
        <w:rPr>
          <w:rFonts w:ascii="Times New Roman" w:hAnsi="Times New Roman" w:cs="Times New Roman"/>
          <w:lang w:val="zh-CN" w:eastAsia="zh-CN"/>
        </w:rPr>
      </w:pPr>
    </w:p>
    <w:p>
      <w:pPr>
        <w:pStyle w:val="3"/>
        <w:rPr>
          <w:rFonts w:ascii="Times New Roman" w:hAnsi="Times New Roman"/>
          <w:sz w:val="24"/>
          <w:szCs w:val="24"/>
        </w:rPr>
      </w:pPr>
      <w:bookmarkStart w:id="15" w:name="_Toc2854"/>
      <w:r>
        <w:rPr>
          <w:rFonts w:ascii="Times New Roman" w:hAnsi="Times New Roman"/>
          <w:sz w:val="24"/>
          <w:szCs w:val="24"/>
          <w:lang w:eastAsia="zh-CN"/>
        </w:rPr>
        <w:t>建筑</w:t>
      </w:r>
      <w:r>
        <w:rPr>
          <w:rFonts w:ascii="Times New Roman" w:hAnsi="Times New Roman"/>
          <w:sz w:val="24"/>
          <w:szCs w:val="24"/>
        </w:rPr>
        <w:t>三维轴测图</w:t>
      </w:r>
      <w:bookmarkEnd w:id="15"/>
    </w:p>
    <w:p>
      <w:pPr>
        <w:jc w:val="center"/>
        <w:rPr>
          <w:rFonts w:ascii="Times New Roman" w:hAnsi="Times New Roman" w:cs="Times New Roman"/>
          <w:lang w:val="zh-CN" w:eastAsia="zh-CN"/>
        </w:rPr>
      </w:pPr>
    </w:p>
    <w:tbl>
      <w:tblPr>
        <w:tblStyle w:val="2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7" w:type="dxa"/>
          </w:tcPr>
          <w:p>
            <w:pPr>
              <w:jc w:val="center"/>
              <w:rPr>
                <w:rFonts w:ascii="微软雅黑" w:hAnsi="微软雅黑" w:eastAsia="微软雅黑" w:cs="Times New Roman"/>
                <w:b/>
                <w:sz w:val="18"/>
                <w:szCs w:val="18"/>
                <w:lang w:val="zh-CN" w:eastAsia="zh-CN"/>
              </w:rPr>
            </w:pPr>
            <w:bookmarkStart w:id="16" w:name="三维视图"/>
            <w:r>
              <w:t>请先在[模型观察]命令中保存图片！</w:t>
            </w:r>
            <w:bookmarkEnd w:id="16"/>
          </w:p>
        </w:tc>
      </w:tr>
    </w:tbl>
    <w:p>
      <w:pPr>
        <w:jc w:val="center"/>
        <w:rPr>
          <w:rFonts w:ascii="Times New Roman" w:hAnsi="Times New Roman" w:cs="Times New Roman"/>
          <w:lang w:val="zh-CN" w:eastAsia="zh-CN"/>
        </w:rPr>
      </w:pPr>
    </w:p>
    <w:p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17" w:name="_Toc13215"/>
      <w:r>
        <w:rPr>
          <w:rFonts w:ascii="Times New Roman" w:hAnsi="Times New Roman" w:cs="Times New Roman"/>
          <w:kern w:val="32"/>
          <w:sz w:val="28"/>
          <w:szCs w:val="28"/>
        </w:rPr>
        <w:t>参考标准</w:t>
      </w:r>
      <w:bookmarkEnd w:id="17"/>
    </w:p>
    <w:p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《绿色建筑评价标准》GB50378-2019</w:t>
      </w:r>
    </w:p>
    <w:p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《住宅建筑室内装修污染控制技术标准》JGJ/T 436</w:t>
      </w:r>
    </w:p>
    <w:p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《公共建筑室内空气质量控制设计标准》JGJ/T 461</w:t>
      </w:r>
    </w:p>
    <w:p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《室内空气质量标准》GB/T 18883</w:t>
      </w:r>
    </w:p>
    <w:p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《建筑外门窗气密、水密、抗风压性能分级及检测方法》GB/T 7106</w:t>
      </w:r>
    </w:p>
    <w:p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《民用建筑工程室内环境污染控制规范》GB 50325</w:t>
      </w:r>
    </w:p>
    <w:p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《民用建筑供暖通风与空气调节设计规范》GB50736</w:t>
      </w:r>
    </w:p>
    <w:p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18" w:name="_Toc1541"/>
      <w:r>
        <w:rPr>
          <w:rFonts w:ascii="Times New Roman" w:hAnsi="Times New Roman" w:cs="Times New Roman"/>
          <w:kern w:val="32"/>
          <w:sz w:val="28"/>
          <w:szCs w:val="28"/>
        </w:rPr>
        <w:t>评价标准</w:t>
      </w:r>
      <w:bookmarkEnd w:id="18"/>
    </w:p>
    <w:p>
      <w:pPr>
        <w:spacing w:before="156"/>
        <w:ind w:firstLine="420" w:firstLineChars="200"/>
        <w:rPr>
          <w:rFonts w:ascii="Times New Roman" w:hAnsi="Times New Roman" w:cs="Times New Roman"/>
          <w:color w:val="000000"/>
          <w:kern w:val="0"/>
          <w:szCs w:val="21"/>
        </w:rPr>
      </w:pPr>
      <w:r>
        <w:rPr>
          <w:rFonts w:ascii="Times New Roman" w:hAnsi="Times New Roman" w:cs="Times New Roman"/>
          <w:color w:val="000000"/>
          <w:kern w:val="0"/>
          <w:szCs w:val="21"/>
        </w:rPr>
        <w:t>本项目主要依据《绿色建筑评价标准》，对有机挥发性污染物浓度进行计算及评</w:t>
      </w:r>
      <w:r>
        <w:rPr>
          <w:rFonts w:hint="eastAsia" w:ascii="Times New Roman" w:hAnsi="Times New Roman" w:cs="Times New Roman"/>
          <w:color w:val="000000"/>
          <w:kern w:val="0"/>
          <w:szCs w:val="21"/>
        </w:rPr>
        <w:t>价</w:t>
      </w:r>
      <w:r>
        <w:rPr>
          <w:rFonts w:ascii="Times New Roman" w:hAnsi="Times New Roman" w:cs="Times New Roman"/>
          <w:color w:val="000000"/>
          <w:kern w:val="0"/>
          <w:szCs w:val="21"/>
        </w:rPr>
        <w:t>，包括控制项、评分项及加分项，对应条款如下：</w:t>
      </w:r>
    </w:p>
    <w:tbl>
      <w:tblPr>
        <w:tblStyle w:val="19"/>
        <w:tblW w:w="929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19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检查项</w:t>
            </w:r>
          </w:p>
        </w:tc>
        <w:tc>
          <w:tcPr>
            <w:tcW w:w="8196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评价依据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技术要求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3.2.8</w:t>
            </w:r>
          </w:p>
        </w:tc>
        <w:tc>
          <w:tcPr>
            <w:tcW w:w="8196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室内空气中的氨、甲醛、苯、总挥发性有机物、氡、可吸入颗粒物等主要污染物浓度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9"/>
                <w:szCs w:val="19"/>
              </w:rPr>
              <w:t>比《室内空气质量标准》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GB/T18883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9"/>
                <w:szCs w:val="19"/>
              </w:rPr>
              <w:t>的要求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降低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9"/>
                <w:szCs w:val="19"/>
              </w:rPr>
              <w:t>的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比例，达到10%为一星级要求；达到20%为二星级和三星级要求。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控制项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5.1.1</w:t>
            </w:r>
          </w:p>
        </w:tc>
        <w:tc>
          <w:tcPr>
            <w:tcW w:w="8196" w:type="dxa"/>
            <w:shd w:val="clear" w:color="auto" w:fill="auto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室内空气中的氨、甲醛、苯、总挥发性有机物TVOC、氡等污染物浓度应符合现行国家标准《室内空气质量标准》GB/T18883的有关规定。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1101" w:type="dxa"/>
            <w:shd w:val="clear" w:color="auto" w:fill="D0CECE"/>
            <w:vAlign w:val="center"/>
          </w:tcPr>
          <w:p>
            <w:pPr>
              <w:jc w:val="center"/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评分项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5.2.1</w:t>
            </w:r>
          </w:p>
        </w:tc>
        <w:tc>
          <w:tcPr>
            <w:tcW w:w="8196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室内空气中的氨、甲醛、苯、总挥发性有机物TVOC、氡等污染物浓度低于现行国家标准《室内空气质量标准》GB/T18883规定限值的10%，得3分；低于20%，得6分；</w:t>
            </w:r>
          </w:p>
        </w:tc>
      </w:tr>
    </w:tbl>
    <w:p>
      <w:pPr>
        <w:spacing w:before="120" w:after="120"/>
        <w:ind w:left="-426" w:firstLine="426"/>
        <w:jc w:val="left"/>
        <w:rPr>
          <w:rFonts w:ascii="Times New Roman" w:hAnsi="Times New Roman" w:eastAsia="黑体" w:cs="Times New Roman"/>
          <w:b/>
          <w:sz w:val="18"/>
        </w:rPr>
      </w:pPr>
      <w:r>
        <w:rPr>
          <w:rFonts w:ascii="Times New Roman" w:hAnsi="Times New Roman" w:eastAsia="黑体" w:cs="Times New Roman"/>
          <w:b/>
          <w:sz w:val="18"/>
        </w:rPr>
        <w:t xml:space="preserve">说明：依据绿标细则，预评价阶段仅对室内空气中的甲醛、苯和TVOC进行浓度评估。 </w:t>
      </w:r>
    </w:p>
    <w:p>
      <w:pPr>
        <w:spacing w:before="120" w:after="120"/>
        <w:jc w:val="left"/>
        <w:rPr>
          <w:rFonts w:ascii="Times New Roman" w:hAnsi="Times New Roman" w:cs="Times New Roman"/>
          <w:kern w:val="0"/>
          <w:sz w:val="24"/>
          <w:szCs w:val="20"/>
          <w:lang w:val="en-GB"/>
        </w:rPr>
      </w:pPr>
      <w:r>
        <w:rPr>
          <w:rFonts w:ascii="Times New Roman" w:hAnsi="Times New Roman" w:cs="Times New Roman"/>
          <w:lang w:val="zh-CN"/>
        </w:rPr>
        <w:t>下面为《室内空气质量标准》GB/T 18883中关于不同类别污染物浓度的限值：</w:t>
      </w:r>
      <w:r>
        <w:rPr>
          <w:rFonts w:ascii="Times New Roman" w:hAnsi="Times New Roman" w:cs="Times New Roman"/>
          <w:kern w:val="0"/>
          <w:sz w:val="24"/>
          <w:szCs w:val="20"/>
          <w:lang w:val="en-GB"/>
        </w:rPr>
        <w:t xml:space="preserve"> </w:t>
      </w:r>
    </w:p>
    <w:tbl>
      <w:tblPr>
        <w:tblStyle w:val="19"/>
        <w:tblW w:w="93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276"/>
        <w:gridCol w:w="992"/>
        <w:gridCol w:w="851"/>
        <w:gridCol w:w="1942"/>
        <w:gridCol w:w="1743"/>
        <w:gridCol w:w="170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Merge w:val="restart"/>
            <w:shd w:val="clear" w:color="000000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类别</w:t>
            </w:r>
          </w:p>
        </w:tc>
        <w:tc>
          <w:tcPr>
            <w:tcW w:w="1276" w:type="dxa"/>
            <w:shd w:val="clear" w:color="000000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甲醛HCHO</w:t>
            </w:r>
          </w:p>
        </w:tc>
        <w:tc>
          <w:tcPr>
            <w:tcW w:w="992" w:type="dxa"/>
            <w:shd w:val="clear" w:color="000000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6</w:t>
            </w:r>
          </w:p>
        </w:tc>
        <w:tc>
          <w:tcPr>
            <w:tcW w:w="851" w:type="dxa"/>
            <w:shd w:val="clear" w:color="000000" w:fill="D0CEC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氨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NH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3</w:t>
            </w:r>
          </w:p>
        </w:tc>
        <w:tc>
          <w:tcPr>
            <w:tcW w:w="1942" w:type="dxa"/>
            <w:shd w:val="clear" w:color="000000" w:fill="D0CEC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总挥发性有机物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TVOC</w:t>
            </w:r>
          </w:p>
        </w:tc>
        <w:tc>
          <w:tcPr>
            <w:tcW w:w="1743" w:type="dxa"/>
            <w:shd w:val="clear" w:color="000000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氡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Rn</w:t>
            </w:r>
          </w:p>
        </w:tc>
        <w:tc>
          <w:tcPr>
            <w:tcW w:w="1701" w:type="dxa"/>
            <w:shd w:val="clear" w:color="000000" w:fill="D0CEC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PM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  <w:vertAlign w:val="subscript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Merge w:val="continue"/>
            <w:shd w:val="clear" w:color="000000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3119" w:type="dxa"/>
            <w:gridSpan w:val="3"/>
            <w:shd w:val="clear" w:color="auto" w:fill="D0CECE" w:themeFill="background2" w:themeFillShade="E6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1小时均值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 xml:space="preserve"> 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942" w:type="dxa"/>
            <w:shd w:val="clear" w:color="auto" w:fill="D0CECE" w:themeFill="background2" w:themeFillShade="E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8小时均值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43" w:type="dxa"/>
            <w:shd w:val="clear" w:color="auto" w:fill="D0CECE" w:themeFill="background2" w:themeFillShade="E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年均值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（Bq/ m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日均值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shd w:val="clear" w:color="000000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限值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0.10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0.11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0.20</w:t>
            </w:r>
          </w:p>
        </w:tc>
        <w:tc>
          <w:tcPr>
            <w:tcW w:w="1942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0.60</w:t>
            </w:r>
          </w:p>
        </w:tc>
        <w:tc>
          <w:tcPr>
            <w:tcW w:w="17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400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0.15</w:t>
            </w:r>
          </w:p>
        </w:tc>
      </w:tr>
    </w:tbl>
    <w:p>
      <w:pPr>
        <w:tabs>
          <w:tab w:val="left" w:pos="426"/>
        </w:tabs>
        <w:rPr>
          <w:rFonts w:ascii="Times New Roman" w:hAnsi="Times New Roman" w:eastAsia="黑体" w:cs="Times New Roman"/>
          <w:b/>
          <w:sz w:val="18"/>
        </w:rPr>
      </w:pPr>
      <w:r>
        <w:rPr>
          <w:rFonts w:ascii="Times New Roman" w:hAnsi="Times New Roman" w:eastAsia="黑体" w:cs="Times New Roman"/>
          <w:b/>
          <w:sz w:val="18"/>
        </w:rPr>
        <w:t xml:space="preserve">说明：氡为放射性元素，单位Bq表示放射活度。 </w:t>
      </w:r>
    </w:p>
    <w:p>
      <w:pPr>
        <w:spacing w:before="120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《绿色建筑评价标准》GB50378-2019中对室内有机挥发污染物浓度的控制要求如下表：</w:t>
      </w:r>
    </w:p>
    <w:tbl>
      <w:tblPr>
        <w:tblStyle w:val="19"/>
        <w:tblW w:w="932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1090"/>
        <w:gridCol w:w="992"/>
        <w:gridCol w:w="992"/>
        <w:gridCol w:w="1843"/>
        <w:gridCol w:w="1701"/>
        <w:gridCol w:w="172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978" w:type="dxa"/>
            <w:vMerge w:val="restart"/>
            <w:shd w:val="clear" w:color="auto" w:fill="D0CEC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>星级</w:t>
            </w:r>
          </w:p>
        </w:tc>
        <w:tc>
          <w:tcPr>
            <w:tcW w:w="1090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>HCHO</w:t>
            </w:r>
          </w:p>
        </w:tc>
        <w:tc>
          <w:tcPr>
            <w:tcW w:w="992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6</w:t>
            </w:r>
          </w:p>
        </w:tc>
        <w:tc>
          <w:tcPr>
            <w:tcW w:w="992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氨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NH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3</w:t>
            </w:r>
          </w:p>
        </w:tc>
        <w:tc>
          <w:tcPr>
            <w:tcW w:w="1843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总挥发性有机物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TVOC</w:t>
            </w:r>
          </w:p>
        </w:tc>
        <w:tc>
          <w:tcPr>
            <w:tcW w:w="1701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氡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Rn</w:t>
            </w:r>
          </w:p>
        </w:tc>
        <w:tc>
          <w:tcPr>
            <w:tcW w:w="1726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PM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78" w:type="dxa"/>
            <w:vMerge w:val="continue"/>
            <w:shd w:val="clear" w:color="auto" w:fill="D0CEC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</w:p>
        </w:tc>
        <w:tc>
          <w:tcPr>
            <w:tcW w:w="3074" w:type="dxa"/>
            <w:gridSpan w:val="3"/>
            <w:shd w:val="clear" w:color="auto" w:fill="D0CECE" w:themeFill="background2" w:themeFillShade="E6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1小时均值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843" w:type="dxa"/>
            <w:shd w:val="clear" w:color="auto" w:fill="D0CECE" w:themeFill="background2" w:themeFillShade="E6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8小时均值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01" w:type="dxa"/>
            <w:shd w:val="clear" w:color="auto" w:fill="D0CECE" w:themeFill="background2" w:themeFillShade="E6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年均值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（Bq/m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26" w:type="dxa"/>
            <w:shd w:val="clear" w:color="auto" w:fill="D0CECE" w:themeFill="background2" w:themeFillShade="E6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日均值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978" w:type="dxa"/>
            <w:shd w:val="clear" w:color="auto" w:fill="D0CECE" w:themeFill="background2" w:themeFillShade="E6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一星级</w:t>
            </w:r>
          </w:p>
        </w:tc>
        <w:tc>
          <w:tcPr>
            <w:tcW w:w="10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＜0.09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＜0.099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＜0.18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＜0.54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＜360</w:t>
            </w:r>
          </w:p>
        </w:tc>
        <w:tc>
          <w:tcPr>
            <w:tcW w:w="172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＜0.135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78" w:type="dxa"/>
            <w:shd w:val="clear" w:color="auto" w:fill="D0CECE" w:themeFill="background2" w:themeFillShade="E6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二星级</w:t>
            </w:r>
          </w:p>
        </w:tc>
        <w:tc>
          <w:tcPr>
            <w:tcW w:w="1090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＜0.08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＜0.088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＜0.16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＜0.48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＜320</w:t>
            </w:r>
          </w:p>
        </w:tc>
        <w:tc>
          <w:tcPr>
            <w:tcW w:w="1726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78" w:type="dxa"/>
            <w:shd w:val="clear" w:color="auto" w:fill="D0CECE" w:themeFill="background2" w:themeFillShade="E6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三星级</w:t>
            </w:r>
          </w:p>
        </w:tc>
        <w:tc>
          <w:tcPr>
            <w:tcW w:w="109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>
      <w:pPr>
        <w:spacing w:before="120"/>
        <w:rPr>
          <w:rFonts w:ascii="Times New Roman" w:hAnsi="Times New Roman" w:cs="Times New Roman"/>
          <w:lang w:val="zh-CN"/>
        </w:rPr>
      </w:pPr>
    </w:p>
    <w:p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19" w:name="_Toc20817"/>
      <w:r>
        <w:rPr>
          <w:rFonts w:ascii="Times New Roman" w:hAnsi="Times New Roman" w:cs="Times New Roman"/>
          <w:kern w:val="32"/>
          <w:sz w:val="28"/>
          <w:szCs w:val="28"/>
        </w:rPr>
        <w:t>计算原理</w:t>
      </w:r>
      <w:bookmarkEnd w:id="19"/>
    </w:p>
    <w:p>
      <w:pPr>
        <w:ind w:firstLine="42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室内污染物浓度控制需综合考虑建筑情况、室内装修设计方案、装修材料的种类和使用量、室内新风量、环境温度等诸多影响因素，以各种装修材料、家具制品主要污染物的释放特征（如释放速率）为基础，控制污染物的总量。</w:t>
      </w:r>
    </w:p>
    <w:p>
      <w:pPr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zh-CN"/>
        </w:rPr>
        <w:t>本项目</w:t>
      </w:r>
      <w:r>
        <w:rPr>
          <w:rFonts w:hint="eastAsia" w:ascii="Times New Roman" w:hAnsi="Times New Roman" w:cs="Times New Roman"/>
        </w:rPr>
        <w:t>依据装修设计方案，通过选择典型功能房间（卧室、客厅、办公室等）使用的</w:t>
      </w:r>
      <w:r>
        <w:rPr>
          <w:rFonts w:ascii="Times New Roman" w:hAnsi="Times New Roman" w:cs="Times New Roman"/>
        </w:rPr>
        <w:t>3</w:t>
      </w:r>
      <w:r>
        <w:rPr>
          <w:rFonts w:ascii="MS Gothic" w:hAnsi="MS Gothic" w:cs="MS Gothic"/>
        </w:rPr>
        <w:t>〜</w:t>
      </w:r>
      <w:r>
        <w:rPr>
          <w:rFonts w:ascii="Times New Roman" w:hAnsi="Times New Roman" w:cs="Times New Roman"/>
        </w:rPr>
        <w:t>5种</w:t>
      </w:r>
      <w:r>
        <w:rPr>
          <w:rFonts w:hint="eastAsia" w:ascii="Times New Roman" w:hAnsi="Times New Roman" w:cs="Times New Roman"/>
        </w:rPr>
        <w:t>主要建材</w:t>
      </w:r>
      <w:r>
        <w:rPr>
          <w:rFonts w:ascii="Times New Roman" w:hAnsi="Times New Roman" w:cs="Times New Roman"/>
        </w:rPr>
        <w:t>及固定家具制品，</w:t>
      </w:r>
      <w:r>
        <w:rPr>
          <w:rFonts w:ascii="Times New Roman" w:hAnsi="Times New Roman" w:cs="Times New Roman"/>
          <w:lang w:val="zh-CN"/>
        </w:rPr>
        <w:t>输入装修材料信息、房间用量及建材用量，对</w:t>
      </w:r>
      <w:r>
        <w:rPr>
          <w:rFonts w:ascii="Times New Roman" w:hAnsi="Times New Roman" w:cs="Times New Roman"/>
        </w:rPr>
        <w:t>室内空气中甲醛、苯、总挥发性有机物</w:t>
      </w:r>
      <w:r>
        <w:rPr>
          <w:rFonts w:ascii="Times New Roman" w:hAnsi="Times New Roman" w:cs="Times New Roman"/>
          <w:lang w:val="zh-CN"/>
        </w:rPr>
        <w:t>浓度进行计算，如下图所示：</w:t>
      </w:r>
      <w:r>
        <w:rPr>
          <w:rFonts w:ascii="Times New Roman" w:hAnsi="Times New Roman" w:cs="Times New Roman"/>
          <w:color w:val="000000"/>
          <w:lang w:val="zh-CN" w:eastAsia="zh-CN"/>
        </w:rPr>
        <w:t xml:space="preserve"> </w:t>
      </w:r>
    </w:p>
    <w:p>
      <w:pPr>
        <w:jc w:val="center"/>
        <w:rPr>
          <w:rFonts w:ascii="Times New Roman" w:hAnsi="Times New Roman" w:cs="Times New Roman"/>
        </w:rPr>
      </w:pPr>
      <w:r>
        <w:drawing>
          <wp:inline distT="0" distB="0" distL="0" distR="0">
            <wp:extent cx="3398520" cy="1801495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00596" cy="1802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微软雅黑" w:hAnsi="微软雅黑" w:eastAsia="微软雅黑" w:cs="Times New Roman"/>
          <w:b/>
          <w:sz w:val="18"/>
          <w:szCs w:val="18"/>
          <w:lang w:val="zh-CN" w:eastAsia="zh-CN"/>
        </w:rPr>
      </w:pPr>
      <w:r>
        <w:rPr>
          <w:rFonts w:ascii="微软雅黑" w:hAnsi="微软雅黑" w:eastAsia="微软雅黑" w:cs="Times New Roman"/>
          <w:b/>
          <w:sz w:val="18"/>
          <w:szCs w:val="18"/>
        </w:rPr>
        <w:t xml:space="preserve">   </w:t>
      </w:r>
      <w:r>
        <w:rPr>
          <w:rFonts w:hint="eastAsia" w:ascii="微软雅黑" w:hAnsi="微软雅黑" w:eastAsia="微软雅黑" w:cs="Times New Roman"/>
          <w:b/>
          <w:sz w:val="18"/>
          <w:szCs w:val="18"/>
        </w:rPr>
        <w:t xml:space="preserve"> </w:t>
      </w:r>
      <w:r>
        <w:rPr>
          <w:rFonts w:ascii="微软雅黑" w:hAnsi="微软雅黑" w:eastAsia="微软雅黑" w:cs="Times New Roman"/>
          <w:b/>
          <w:sz w:val="18"/>
          <w:szCs w:val="18"/>
        </w:rPr>
        <w:t>图4-1 计算流程图</w:t>
      </w:r>
    </w:p>
    <w:p>
      <w:pPr>
        <w:spacing w:before="156"/>
        <w:ind w:firstLine="420" w:firstLineChars="200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室内VOCs</w:t>
      </w:r>
      <w:r>
        <w:rPr>
          <w:rFonts w:hint="eastAsia" w:ascii="Times New Roman" w:hAnsi="Times New Roman" w:cs="Times New Roman"/>
          <w:lang w:val="zh-CN"/>
        </w:rPr>
        <w:t>评价</w:t>
      </w:r>
      <w:r>
        <w:rPr>
          <w:rFonts w:ascii="Times New Roman" w:hAnsi="Times New Roman" w:cs="Times New Roman"/>
          <w:lang w:val="zh-CN"/>
        </w:rPr>
        <w:t>模型遵循材料表面污染物与室内空气之间的</w:t>
      </w:r>
      <w:r>
        <w:rPr>
          <w:rFonts w:hint="eastAsia" w:ascii="Times New Roman" w:hAnsi="Times New Roman" w:cs="Times New Roman"/>
          <w:lang w:val="zh-CN"/>
        </w:rPr>
        <w:t>质量平衡</w:t>
      </w:r>
      <w:r>
        <w:rPr>
          <w:rFonts w:ascii="Times New Roman" w:hAnsi="Times New Roman" w:cs="Times New Roman"/>
          <w:lang w:val="zh-CN"/>
        </w:rPr>
        <w:t>方程，如下：</w:t>
      </w:r>
    </w:p>
    <w:p>
      <w:pPr>
        <w:rPr>
          <w:rFonts w:ascii="Times New Roman" w:hAnsi="Times New Roman" w:cs="Times New Roman"/>
          <w:szCs w:val="21"/>
          <w:lang w:val="zh-CN"/>
        </w:rPr>
      </w:pPr>
      <m:oMathPara>
        <m:oMath>
          <m:r>
            <m:rPr/>
            <w:rPr>
              <w:rFonts w:ascii="Cambria Math" w:hAnsi="Cambria Math" w:cs="Times New Roman"/>
              <w:szCs w:val="21"/>
              <w:lang w:val="zh-CN"/>
            </w:rPr>
            <m:t>V</m:t>
          </m:r>
          <m:f>
            <m:fP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fPr>
            <m:num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d</m:t>
              </m:r>
              <m:sSub>
                <m:sSubPr>
                  <m:ctrlPr>
                    <w:rPr>
                      <w:rFonts w:ascii="Cambria Math" w:hAnsi="Cambria Math" w:cs="Times New Roman"/>
                      <w:szCs w:val="21"/>
                      <w:lang w:val="zh-CN"/>
                    </w:rPr>
                  </m:ctrlPr>
                </m:sSubPr>
                <m:e>
                  <m:r>
                    <m:rPr/>
                    <w:rPr>
                      <w:rFonts w:ascii="Cambria Math" w:hAnsi="Cambria Math" w:cs="Times New Roman"/>
                      <w:szCs w:val="21"/>
                      <w:lang w:val="zh-CN"/>
                    </w:rPr>
                    <m:t>C</m:t>
                  </m:r>
                  <m:ctrlPr>
                    <w:rPr>
                      <w:rFonts w:ascii="Cambria Math" w:hAnsi="Cambria Math" w:cs="Times New Roman"/>
                      <w:szCs w:val="21"/>
                      <w:lang w:val="zh-CN"/>
                    </w:rPr>
                  </m:ctrlPr>
                </m:e>
                <m:sub>
                  <m:r>
                    <m:rPr/>
                    <w:rPr>
                      <w:rFonts w:ascii="Cambria Math" w:hAnsi="Cambria Math" w:cs="Times New Roman"/>
                      <w:szCs w:val="21"/>
                      <w:lang w:val="zh-CN"/>
                    </w:rPr>
                    <m:t>a</m:t>
                  </m:r>
                  <m:ctrlPr>
                    <w:rPr>
                      <w:rFonts w:ascii="Cambria Math" w:hAnsi="Cambria Math" w:cs="Times New Roman"/>
                      <w:szCs w:val="21"/>
                      <w:lang w:val="zh-CN"/>
                    </w:rPr>
                  </m:ctrlPr>
                </m:sub>
              </m:sSub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num>
            <m:den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dt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den>
          </m:f>
          <m:r>
            <m:rPr>
              <m:sty m:val="p"/>
            </m:rPr>
            <w:rPr>
              <w:rFonts w:ascii="Cambria Math" w:hAnsi="Cambria Math" w:cs="Times New Roman"/>
              <w:szCs w:val="21"/>
              <w:lang w:val="zh-CN"/>
            </w:rPr>
            <m:t>=</m:t>
          </m:r>
          <m:nary>
            <m:naryPr>
              <m:chr m:val="∑"/>
              <m:subHide m:val="1"/>
              <m:supHide m:val="1"/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naryPr>
            <m:sub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ub>
            <m:sup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up>
            <m:e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AE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e>
          </m:nary>
          <m:r>
            <m:rPr>
              <m:sty m:val="p"/>
            </m:rPr>
            <w:rPr>
              <w:rFonts w:ascii="Cambria Math" w:hAnsi="Cambria Math" w:cs="Times New Roman"/>
              <w:szCs w:val="21"/>
              <w:lang w:val="zh-CN"/>
            </w:rPr>
            <m:t>−</m:t>
          </m:r>
          <m:r>
            <m:rPr/>
            <w:rPr>
              <w:rFonts w:ascii="Cambria Math" w:hAnsi="Cambria Math" w:cs="Times New Roman"/>
              <w:szCs w:val="21"/>
              <w:lang w:val="zh-CN"/>
            </w:rPr>
            <m:t>Q</m:t>
          </m:r>
          <m:sSub>
            <m:sSubP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SubPr>
            <m:e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C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e>
            <m:sub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a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ub>
          </m:sSub>
        </m:oMath>
      </m:oMathPara>
    </w:p>
    <w:p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其中：</w:t>
      </w:r>
    </w:p>
    <w:p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ascii="Times New Roman" w:hAnsi="Times New Roman" w:cs="Times New Roman"/>
          <w:lang w:val="zh-CN"/>
        </w:rPr>
        <w:t>房间体积</w:t>
      </w:r>
      <w:r>
        <w:rPr>
          <w:rFonts w:ascii="Times New Roman" w:hAnsi="Times New Roman" w:cs="Times New Roman"/>
        </w:rPr>
        <w:t>，m</w:t>
      </w:r>
      <w:r>
        <w:rPr>
          <w:rFonts w:ascii="Times New Roman" w:hAnsi="Times New Roman" w:cs="Times New Roman"/>
          <w:vertAlign w:val="superscript"/>
        </w:rPr>
        <w:t>3</w:t>
      </w:r>
    </w:p>
    <w:p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z w:val="22"/>
          <w:szCs w:val="24"/>
          <w:vertAlign w:val="subscript"/>
        </w:rPr>
        <w:t>a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ascii="Times New Roman" w:hAnsi="Times New Roman" w:cs="Times New Roman"/>
          <w:lang w:val="zh-CN"/>
        </w:rPr>
        <w:t>房间空气中污染物浓度，</w:t>
      </w:r>
      <w:r>
        <w:rPr>
          <w:rFonts w:ascii="Times New Roman" w:hAnsi="Times New Roman" w:cs="Times New Roman"/>
        </w:rPr>
        <w:t>mg/ m</w:t>
      </w:r>
      <w:r>
        <w:rPr>
          <w:rFonts w:ascii="Times New Roman" w:hAnsi="Times New Roman" w:cs="Times New Roman"/>
          <w:vertAlign w:val="superscript"/>
        </w:rPr>
        <w:t>3</w:t>
      </w:r>
    </w:p>
    <w:p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hint="eastAsia" w:ascii="Times New Roman" w:hAnsi="Times New Roman" w:cs="Times New Roman"/>
          <w:lang w:val="zh-CN"/>
        </w:rPr>
        <w:t>材料与</w:t>
      </w:r>
      <w:r>
        <w:rPr>
          <w:rFonts w:ascii="Times New Roman" w:hAnsi="Times New Roman" w:cs="Times New Roman"/>
          <w:lang w:val="zh-CN"/>
        </w:rPr>
        <w:t>室内空气</w:t>
      </w:r>
      <w:r>
        <w:rPr>
          <w:rFonts w:hint="eastAsia" w:ascii="Times New Roman" w:hAnsi="Times New Roman" w:cs="Times New Roman"/>
          <w:lang w:val="zh-CN"/>
        </w:rPr>
        <w:t>接触</w:t>
      </w:r>
      <w:r>
        <w:rPr>
          <w:rFonts w:ascii="Times New Roman" w:hAnsi="Times New Roman" w:cs="Times New Roman"/>
          <w:lang w:val="zh-CN"/>
        </w:rPr>
        <w:t>的面积，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2</w:t>
      </w:r>
    </w:p>
    <w:p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ascii="Times New Roman" w:hAnsi="Times New Roman" w:cs="Times New Roman"/>
          <w:lang w:val="zh-CN"/>
        </w:rPr>
        <w:t>房间内渗风量</w:t>
      </w:r>
      <w:r>
        <w:rPr>
          <w:rFonts w:ascii="Times New Roman" w:hAnsi="Times New Roman" w:cs="Times New Roman"/>
        </w:rPr>
        <w:t>，m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/h</w:t>
      </w:r>
    </w:p>
    <w:p>
      <w:pPr>
        <w:spacing w:line="400" w:lineRule="atLeast"/>
        <w:ind w:left="210" w:leftChars="100" w:right="210" w:rightChars="1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E——</w:t>
      </w:r>
      <w:r>
        <w:rPr>
          <w:rFonts w:ascii="Times New Roman" w:hAnsi="Times New Roman" w:cs="Times New Roman"/>
          <w:lang w:val="zh-CN"/>
        </w:rPr>
        <w:t>材料污染物释放率</w:t>
      </w:r>
      <w:r>
        <w:rPr>
          <w:rFonts w:ascii="Times New Roman" w:hAnsi="Times New Roman" w:cs="Times New Roman"/>
          <w:szCs w:val="21"/>
        </w:rPr>
        <w:t>，mg/m</w:t>
      </w:r>
      <w:r>
        <w:rPr>
          <w:rFonts w:ascii="Times New Roman" w:hAnsi="Times New Roman" w:cs="Times New Roman"/>
          <w:szCs w:val="21"/>
          <w:vertAlign w:val="superscript"/>
        </w:rPr>
        <w:t>2</w:t>
      </w:r>
      <w:r>
        <w:rPr>
          <w:rFonts w:ascii="Times New Roman" w:hAnsi="Times New Roman" w:cs="Times New Roman"/>
          <w:szCs w:val="21"/>
        </w:rPr>
        <w:t>·h</w:t>
      </w:r>
    </w:p>
    <w:p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0" w:name="_Toc30244"/>
      <w:r>
        <w:rPr>
          <w:rFonts w:ascii="Times New Roman" w:hAnsi="Times New Roman" w:cs="Times New Roman"/>
          <w:kern w:val="32"/>
          <w:sz w:val="28"/>
          <w:szCs w:val="28"/>
        </w:rPr>
        <w:t>计算参数</w:t>
      </w:r>
      <w:bookmarkEnd w:id="20"/>
    </w:p>
    <w:p>
      <w:pPr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依据上述计算原理，本项目计算所需输入的参数主要为装修材料污染物释放特性</w:t>
      </w:r>
      <w:r>
        <w:rPr>
          <w:rFonts w:hint="eastAsia" w:ascii="Times New Roman" w:hAnsi="Times New Roman" w:cs="Times New Roman"/>
        </w:rPr>
        <w:t>、材料用量</w:t>
      </w:r>
      <w:r>
        <w:rPr>
          <w:rFonts w:ascii="Times New Roman" w:hAnsi="Times New Roman" w:cs="Times New Roman"/>
        </w:rPr>
        <w:t>以及房间渗透风量，如下述章节所述：</w:t>
      </w:r>
    </w:p>
    <w:p>
      <w:pPr>
        <w:pStyle w:val="3"/>
        <w:rPr>
          <w:rFonts w:ascii="Times New Roman" w:hAnsi="Times New Roman"/>
          <w:sz w:val="24"/>
          <w:szCs w:val="24"/>
          <w:lang w:eastAsia="zh-CN"/>
        </w:rPr>
      </w:pPr>
      <w:bookmarkStart w:id="21" w:name="_Toc18678"/>
      <w:r>
        <w:rPr>
          <w:rFonts w:ascii="Times New Roman" w:hAnsi="Times New Roman"/>
          <w:sz w:val="24"/>
          <w:szCs w:val="24"/>
          <w:lang w:eastAsia="zh-CN"/>
        </w:rPr>
        <w:t>渗透风量</w:t>
      </w:r>
      <w:bookmarkEnd w:id="21"/>
    </w:p>
    <w:p>
      <w:pPr>
        <w:ind w:left="-36" w:leftChars="-17" w:firstLine="420" w:firstLineChars="200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渗透风量可通过</w:t>
      </w:r>
      <w:r>
        <w:rPr>
          <w:rFonts w:ascii="Times New Roman" w:hAnsi="Times New Roman" w:cs="Times New Roman"/>
          <w:b/>
          <w:lang w:val="zh-CN"/>
        </w:rPr>
        <w:t>门窗气密性</w:t>
      </w:r>
      <w:r>
        <w:rPr>
          <w:rFonts w:ascii="Times New Roman" w:hAnsi="Times New Roman" w:cs="Times New Roman"/>
          <w:bCs/>
          <w:lang w:val="zh-CN"/>
        </w:rPr>
        <w:t>或者</w:t>
      </w:r>
      <w:r>
        <w:rPr>
          <w:rFonts w:ascii="Times New Roman" w:hAnsi="Times New Roman" w:cs="Times New Roman"/>
          <w:b/>
          <w:lang w:val="zh-CN"/>
        </w:rPr>
        <w:t>换气次数</w:t>
      </w:r>
      <w:r>
        <w:rPr>
          <w:rFonts w:ascii="Times New Roman" w:hAnsi="Times New Roman" w:cs="Times New Roman"/>
          <w:lang w:val="zh-CN"/>
        </w:rPr>
        <w:t>计算，门窗气密性等级参考《建筑外门窗气密、水密、抗风压性能分级及检测方法》GB/T 7106中1~8级进行设置；换气次数选取可参考建筑节能标准中的相关规</w:t>
      </w:r>
      <w:r>
        <w:rPr>
          <w:rFonts w:hint="eastAsia" w:ascii="Times New Roman" w:hAnsi="Times New Roman" w:cs="Times New Roman"/>
          <w:lang w:val="zh-CN"/>
        </w:rPr>
        <w:t>定。</w:t>
      </w:r>
    </w:p>
    <w:p>
      <w:pPr>
        <w:ind w:left="-36" w:leftChars="-17" w:firstLine="420" w:firstLineChars="200"/>
        <w:rPr>
          <w:rFonts w:ascii="宋体" w:hAnsi="宋体" w:cs="Times New Roman"/>
          <w:lang w:val="zh-CN"/>
        </w:rPr>
      </w:pPr>
      <w:bookmarkStart w:id="22" w:name="渗透风量"/>
      <w:r>
        <w:t>本项目忽略渗透风量的影响。</w:t>
      </w:r>
      <w:bookmarkEnd w:id="22"/>
    </w:p>
    <w:p>
      <w:pPr>
        <w:jc w:val="center"/>
        <w:rPr>
          <w:rFonts w:ascii="Times New Roman" w:hAnsi="Times New Roman" w:cs="Times New Roman"/>
          <w:b/>
          <w:bCs/>
          <w:color w:val="000000"/>
        </w:rPr>
      </w:pPr>
      <w:bookmarkStart w:id="23" w:name="房间及渗透风量表"/>
      <w:bookmarkEnd w:id="23"/>
    </w:p>
    <w:p>
      <w:pPr>
        <w:pStyle w:val="3"/>
        <w:rPr>
          <w:rFonts w:ascii="Times New Roman" w:hAnsi="Times New Roman"/>
          <w:sz w:val="24"/>
          <w:szCs w:val="24"/>
          <w:lang w:eastAsia="zh-CN"/>
        </w:rPr>
      </w:pPr>
      <w:bookmarkStart w:id="24" w:name="_Toc19534"/>
      <w:r>
        <w:rPr>
          <w:rFonts w:ascii="Times New Roman" w:hAnsi="Times New Roman"/>
          <w:sz w:val="24"/>
          <w:szCs w:val="24"/>
          <w:lang w:eastAsia="zh-CN"/>
        </w:rPr>
        <w:t>室内装修信息</w:t>
      </w:r>
      <w:bookmarkEnd w:id="24"/>
      <w:r>
        <w:rPr>
          <w:rFonts w:ascii="Times New Roman" w:hAnsi="Times New Roman"/>
          <w:sz w:val="24"/>
          <w:szCs w:val="24"/>
          <w:lang w:eastAsia="zh-CN"/>
        </w:rPr>
        <w:t xml:space="preserve">  </w:t>
      </w:r>
    </w:p>
    <w:p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表5.2-1  材料污染物释放率mg/（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m</w:t>
      </w:r>
      <w:r>
        <w:rPr>
          <w:rFonts w:hint="eastAsia" w:ascii="微软雅黑" w:hAnsi="微软雅黑" w:eastAsia="微软雅黑" w:cs="Times New Roman"/>
          <w:b/>
          <w:bCs/>
          <w:color w:val="000000"/>
          <w:vertAlign w:val="superscript"/>
        </w:rPr>
        <w:t>2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·h</w:t>
      </w:r>
      <w:r>
        <w:rPr>
          <w:rFonts w:ascii="微软雅黑" w:hAnsi="微软雅黑" w:eastAsia="微软雅黑" w:cs="Times New Roman"/>
          <w:b/>
          <w:bCs/>
          <w:color w:val="000000"/>
        </w:rPr>
        <w:t>）</w:t>
      </w:r>
    </w:p>
    <w:tbl>
      <w:tblPr>
        <w:tblStyle w:val="19"/>
        <w:tblW w:w="816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7"/>
        <w:gridCol w:w="1647"/>
        <w:gridCol w:w="1301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材质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释放率等级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甲醛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TVOC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瓷砖1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F2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家具2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F2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F2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0.042</w:t>
            </w:r>
          </w:p>
        </w:tc>
      </w:tr>
    </w:tbl>
    <w:p>
      <w:pPr>
        <w:jc w:val="center"/>
        <w:rPr>
          <w:rFonts w:ascii="Times New Roman" w:hAnsi="Times New Roman" w:cs="Times New Roman"/>
          <w:highlight w:val="red"/>
          <w:lang w:val="zh-CN"/>
        </w:rPr>
      </w:pPr>
      <w:bookmarkStart w:id="25" w:name="装修材料表"/>
      <w:bookmarkEnd w:id="25"/>
    </w:p>
    <w:p>
      <w:pPr>
        <w:jc w:val="center"/>
        <w:rPr>
          <w:rFonts w:ascii="Times New Roman" w:hAnsi="Times New Roman" w:cs="Times New Roman"/>
          <w:highlight w:val="red"/>
          <w:lang w:val="zh-CN"/>
        </w:rPr>
      </w:pPr>
    </w:p>
    <w:p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表5.2-2  装修方案清单</w:t>
      </w:r>
    </w:p>
    <w:tbl>
      <w:tblPr>
        <w:tblStyle w:val="19"/>
        <w:tblW w:w="80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735"/>
        <w:gridCol w:w="1358"/>
        <w:gridCol w:w="1528"/>
        <w:gridCol w:w="1528"/>
        <w:gridCol w:w="1528"/>
        <w:gridCol w:w="9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装修方案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材料材质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面积㎡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3003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办公-普通办公室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（公建）大食堂方案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335.9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瓷砖1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447.9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家具2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84.0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3018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空房间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（公建）大食堂方案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35.7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瓷砖1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47.6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家具2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3024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空房间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（公建）大食堂方案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23.2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瓷砖1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家具2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3032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办公-普通办公室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（公建）大食堂方案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瓷砖1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家具2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3042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办公-普通办公室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（公建）大食堂方案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瓷砖1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家具2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0.8</w:t>
            </w:r>
          </w:p>
        </w:tc>
      </w:tr>
    </w:tbl>
    <w:p>
      <w:pPr>
        <w:jc w:val="center"/>
        <w:rPr>
          <w:rFonts w:ascii="Times New Roman" w:hAnsi="Times New Roman" w:cs="Times New Roman"/>
          <w:highlight w:val="red"/>
          <w:lang w:val="zh-CN"/>
        </w:rPr>
      </w:pPr>
      <w:bookmarkStart w:id="26" w:name="装修材料清单表"/>
      <w:bookmarkEnd w:id="26"/>
    </w:p>
    <w:p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7" w:name="_Toc20435"/>
      <w:r>
        <w:rPr>
          <w:rFonts w:ascii="Times New Roman" w:hAnsi="Times New Roman" w:cs="Times New Roman"/>
          <w:kern w:val="32"/>
          <w:sz w:val="28"/>
          <w:szCs w:val="28"/>
        </w:rPr>
        <w:t>计算结果</w:t>
      </w:r>
      <w:bookmarkEnd w:id="27"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本项目按照标准对参评房间有机挥发物进行计算，并对照标准进行达标判定。如前述参考标准所述，《绿色建筑评价标准》</w:t>
      </w:r>
      <w:r>
        <w:rPr>
          <w:rFonts w:ascii="Times New Roman" w:hAnsi="Times New Roman" w:cs="Times New Roman"/>
          <w:lang w:val="zh-CN"/>
        </w:rPr>
        <w:t>中不同的检查项目对不同室内挥发物的浓度要求详见下表：</w:t>
      </w:r>
      <w:r>
        <w:rPr>
          <w:rFonts w:ascii="Times New Roman" w:hAnsi="Times New Roman" w:eastAsia="黑体" w:cs="Times New Roman"/>
          <w:sz w:val="18"/>
          <w:szCs w:val="20"/>
          <w:lang w:val="zh-CN"/>
        </w:rPr>
        <w:tab/>
      </w:r>
    </w:p>
    <w:p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表6.1  有机挥发物标准限值</w:t>
      </w:r>
    </w:p>
    <w:tbl>
      <w:tblPr>
        <w:tblStyle w:val="19"/>
        <w:tblW w:w="819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850"/>
        <w:gridCol w:w="2410"/>
        <w:gridCol w:w="1373"/>
        <w:gridCol w:w="205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353" w:type="dxa"/>
            <w:gridSpan w:val="2"/>
            <w:vMerge w:val="restart"/>
            <w:shd w:val="clear" w:color="auto" w:fill="E7E6E6" w:themeFill="background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检查项目</w:t>
            </w:r>
          </w:p>
        </w:tc>
        <w:tc>
          <w:tcPr>
            <w:tcW w:w="2410" w:type="dxa"/>
            <w:shd w:val="clear" w:color="auto" w:fill="E7E6E6" w:themeFill="background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</w:p>
        </w:tc>
        <w:tc>
          <w:tcPr>
            <w:tcW w:w="1373" w:type="dxa"/>
            <w:shd w:val="clear" w:color="auto" w:fill="E7E6E6" w:themeFill="background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</w:p>
        </w:tc>
        <w:tc>
          <w:tcPr>
            <w:tcW w:w="2055" w:type="dxa"/>
            <w:shd w:val="clear" w:color="auto" w:fill="E7E6E6" w:themeFill="background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TVOC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3" w:type="dxa"/>
            <w:gridSpan w:val="2"/>
            <w:vMerge w:val="continue"/>
            <w:shd w:val="clear" w:color="auto" w:fill="E7E6E6" w:themeFill="background2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3783" w:type="dxa"/>
            <w:gridSpan w:val="2"/>
            <w:shd w:val="clear" w:color="auto" w:fill="E7E6E6" w:themeFill="background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1小时均值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(mg/ m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055" w:type="dxa"/>
            <w:shd w:val="clear" w:color="auto" w:fill="E7E6E6" w:themeFill="background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8小时均值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(mg/ m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3" w:type="dxa"/>
            <w:gridSpan w:val="2"/>
            <w:shd w:val="clear" w:color="auto" w:fill="E7E6E6" w:themeFill="background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控制项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0.10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0.11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0.60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03" w:type="dxa"/>
            <w:vMerge w:val="restart"/>
            <w:shd w:val="clear" w:color="auto" w:fill="E7E6E6" w:themeFill="background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评分项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3分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0.09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0.099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0.54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" w:hRule="atLeast"/>
        </w:trPr>
        <w:tc>
          <w:tcPr>
            <w:tcW w:w="1503" w:type="dxa"/>
            <w:vMerge w:val="continue"/>
            <w:shd w:val="clear" w:color="auto" w:fill="E7E6E6" w:themeFill="background2"/>
            <w:noWrap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6分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0.08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0.088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0.48</w:t>
            </w:r>
          </w:p>
        </w:tc>
      </w:tr>
    </w:tbl>
    <w:p>
      <w:pPr>
        <w:spacing w:before="120"/>
        <w:rPr>
          <w:rFonts w:ascii="Times New Roman" w:hAnsi="Times New Roman" w:eastAsia="黑体" w:cs="Times New Roman"/>
          <w:color w:val="000000"/>
          <w:kern w:val="0"/>
          <w:sz w:val="22"/>
        </w:rPr>
      </w:pPr>
      <w:r>
        <w:rPr>
          <w:rFonts w:ascii="Times New Roman" w:hAnsi="Times New Roman" w:eastAsia="黑体" w:cs="Times New Roman"/>
          <w:color w:val="000000"/>
          <w:kern w:val="0"/>
          <w:sz w:val="22"/>
        </w:rPr>
        <w:t xml:space="preserve"> </w:t>
      </w:r>
      <w:r>
        <w:rPr>
          <w:rFonts w:ascii="Times New Roman" w:hAnsi="Times New Roman" w:cs="Times New Roman"/>
        </w:rPr>
        <w:t>本项目对各房间有机挥发物浓度进行了计算，汇总如下表：</w:t>
      </w:r>
    </w:p>
    <w:p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表6.2  各房间有机挥发物达标判定</w:t>
      </w:r>
    </w:p>
    <w:tbl>
      <w:tblPr>
        <w:tblStyle w:val="19"/>
        <w:tblW w:w="822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131"/>
        <w:gridCol w:w="1341"/>
        <w:gridCol w:w="984"/>
        <w:gridCol w:w="984"/>
        <w:gridCol w:w="984"/>
        <w:gridCol w:w="1058"/>
        <w:gridCol w:w="105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甲醛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TVOC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控制项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评分项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办公-普通办公室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办公-普通办公室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1038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办公-普通办公室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办公-普通办公室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办公-普通办公室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办公-普通办公室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空房间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办公-普通办公室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2023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空房间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2036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办公-普通办公室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办公-普通办公室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办公-普通办公室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办公-普通办公室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办公-普通办公室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空房间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办公-普通办公室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空房间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3032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办公-普通办公室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3037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办公-普通办公室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3042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办公-普通办公室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3</w:t>
            </w:r>
          </w:p>
        </w:tc>
      </w:tr>
    </w:tbl>
    <w:p>
      <w:pPr>
        <w:ind w:left="-567" w:leftChars="-270" w:firstLine="420" w:firstLineChars="200"/>
        <w:jc w:val="center"/>
        <w:rPr>
          <w:rFonts w:ascii="Times New Roman" w:hAnsi="Times New Roman" w:cs="Times New Roman"/>
          <w:bCs/>
        </w:rPr>
      </w:pPr>
      <w:bookmarkStart w:id="28" w:name="室内VOC达标判定表"/>
      <w:bookmarkEnd w:id="28"/>
    </w:p>
    <w:p>
      <w:pPr>
        <w:ind w:right="210" w:rightChars="100" w:firstLine="210" w:firstLineChars="100"/>
        <w:jc w:val="left"/>
        <w:rPr>
          <w:rFonts w:ascii="Times New Roman" w:hAnsi="Times New Roman" w:eastAsia="等线" w:cs="Times New Roman"/>
          <w:bCs/>
          <w:vertAlign w:val="superscript"/>
        </w:rPr>
      </w:pPr>
      <w:r>
        <w:rPr>
          <w:rFonts w:ascii="Times New Roman" w:hAnsi="Times New Roman" w:eastAsia="等线" w:cs="Times New Roman"/>
          <w:bCs/>
        </w:rPr>
        <w:t>说明:甲醛、苯数值为1小时均值,单位mg/m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  <w:r>
        <w:rPr>
          <w:rFonts w:ascii="Times New Roman" w:hAnsi="Times New Roman" w:eastAsia="等线" w:cs="Times New Roman"/>
          <w:bCs/>
        </w:rPr>
        <w:t>；TVOC为8小时均值单位mg/m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</w:p>
    <w:p>
      <w:pPr>
        <w:ind w:left="-567" w:leftChars="-270" w:firstLine="420" w:firstLineChars="200"/>
        <w:jc w:val="left"/>
        <w:rPr>
          <w:rFonts w:ascii="Times New Roman" w:hAnsi="Times New Roman" w:eastAsia="等线" w:cs="Times New Roman"/>
          <w:bCs/>
          <w:vertAlign w:val="superscript"/>
        </w:rPr>
      </w:pPr>
    </w:p>
    <w:p>
      <w:pPr>
        <w:ind w:left="-567" w:leftChars="-270" w:firstLine="420" w:firstLineChars="200"/>
        <w:jc w:val="center"/>
        <w:rPr>
          <w:rFonts w:ascii="Times New Roman" w:hAnsi="Times New Roman" w:eastAsia="等线" w:cs="Times New Roman"/>
          <w:bCs/>
        </w:rPr>
      </w:pPr>
      <w:bookmarkStart w:id="29" w:name="有机物达标判定图"/>
      <w:bookmarkEnd w:id="29"/>
      <w:r>
        <w:drawing>
          <wp:inline distT="0" distB="0" distL="0" distR="0">
            <wp:extent cx="5667375" cy="3667125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center" w:pos="4153"/>
          <w:tab w:val="right" w:pos="8306"/>
        </w:tabs>
        <w:jc w:val="left"/>
        <w:rPr>
          <w:rFonts w:ascii="微软雅黑" w:hAnsi="微软雅黑" w:eastAsia="微软雅黑" w:cs="Times New Roman"/>
          <w:b/>
          <w:sz w:val="18"/>
          <w:szCs w:val="18"/>
        </w:rPr>
      </w:pPr>
      <w:r>
        <w:rPr>
          <w:rFonts w:ascii="微软雅黑" w:hAnsi="微软雅黑" w:eastAsia="微软雅黑" w:cs="Times New Roman"/>
          <w:b/>
          <w:sz w:val="18"/>
          <w:szCs w:val="18"/>
        </w:rPr>
        <w:tab/>
      </w:r>
      <w:r>
        <w:rPr>
          <w:rFonts w:ascii="微软雅黑" w:hAnsi="微软雅黑" w:eastAsia="微软雅黑" w:cs="Times New Roman"/>
          <w:b/>
          <w:sz w:val="18"/>
          <w:szCs w:val="18"/>
        </w:rPr>
        <w:t>图6-1 达标统计图</w:t>
      </w:r>
      <w:r>
        <w:rPr>
          <w:rFonts w:ascii="微软雅黑" w:hAnsi="微软雅黑" w:eastAsia="微软雅黑" w:cs="Times New Roman"/>
          <w:b/>
          <w:sz w:val="18"/>
          <w:szCs w:val="18"/>
        </w:rPr>
        <w:tab/>
      </w:r>
    </w:p>
    <w:p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30" w:name="_Toc22986"/>
      <w:r>
        <w:rPr>
          <w:rFonts w:ascii="Times New Roman" w:hAnsi="Times New Roman" w:cs="Times New Roman"/>
          <w:kern w:val="32"/>
          <w:sz w:val="28"/>
          <w:szCs w:val="28"/>
        </w:rPr>
        <w:t>结论</w:t>
      </w:r>
      <w:bookmarkEnd w:id="30"/>
    </w:p>
    <w:p>
      <w:pPr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本项目按照标准要求对所有参评房间进行了有机挥发物浓度的计算，并对结果进行评价如下：</w:t>
      </w:r>
    </w:p>
    <w:tbl>
      <w:tblPr>
        <w:tblStyle w:val="19"/>
        <w:tblW w:w="831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3347"/>
        <w:gridCol w:w="675"/>
        <w:gridCol w:w="1754"/>
        <w:gridCol w:w="1028"/>
        <w:gridCol w:w="51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6" w:type="dxa"/>
            <w:shd w:val="clear" w:color="auto" w:fill="D8D8D8" w:themeFill="background1" w:themeFillShade="D9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检查项</w:t>
            </w:r>
          </w:p>
        </w:tc>
        <w:tc>
          <w:tcPr>
            <w:tcW w:w="4022" w:type="dxa"/>
            <w:gridSpan w:val="2"/>
            <w:shd w:val="clear" w:color="auto" w:fill="D8D8D8" w:themeFill="background1" w:themeFillShade="D9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标准要求</w:t>
            </w:r>
          </w:p>
        </w:tc>
        <w:tc>
          <w:tcPr>
            <w:tcW w:w="1754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计算结果</w:t>
            </w:r>
          </w:p>
        </w:tc>
        <w:tc>
          <w:tcPr>
            <w:tcW w:w="1028" w:type="dxa"/>
            <w:shd w:val="clear" w:color="auto" w:fill="D8D8D8" w:themeFill="background1" w:themeFillShade="D9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结论</w:t>
            </w:r>
          </w:p>
        </w:tc>
        <w:tc>
          <w:tcPr>
            <w:tcW w:w="512" w:type="dxa"/>
            <w:shd w:val="clear" w:color="auto" w:fill="D8D8D8" w:themeFill="background1" w:themeFillShade="D9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96" w:type="dxa"/>
            <w:shd w:val="clear" w:color="000000" w:fill="D0CECE"/>
            <w:noWrap/>
            <w:vAlign w:val="center"/>
          </w:tcPr>
          <w:p>
            <w:pPr>
              <w:jc w:val="center"/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控制项</w:t>
            </w:r>
          </w:p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5.1.1</w:t>
            </w:r>
          </w:p>
        </w:tc>
        <w:tc>
          <w:tcPr>
            <w:tcW w:w="4022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室内空气中甲醛、苯、TVOC浓度限值分别为甲醛0.10，苯0.11，TVOC 0.6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1" w:name="控制项计算结果"/>
            <w:r>
              <w:rPr>
                <w:rFonts w:ascii="Times New Roman" w:hAnsi="Times New Roman" w:cs="Times New Roman"/>
              </w:rPr>
              <w:t>所有房间均达标</w:t>
            </w:r>
            <w:bookmarkEnd w:id="31"/>
          </w:p>
        </w:tc>
        <w:tc>
          <w:tcPr>
            <w:tcW w:w="1028" w:type="dxa"/>
            <w:shd w:val="clear" w:color="auto" w:fill="FEF2CC" w:themeFill="accent4" w:themeFillTint="33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2" w:name="控制项计算结论"/>
            <w:r>
              <w:rPr>
                <w:rFonts w:ascii="Times New Roman" w:hAnsi="Times New Roman" w:cs="Times New Roman"/>
                <w:b/>
              </w:rPr>
              <w:t>满足</w:t>
            </w:r>
            <w:bookmarkEnd w:id="32"/>
          </w:p>
        </w:tc>
        <w:tc>
          <w:tcPr>
            <w:tcW w:w="512" w:type="dxa"/>
            <w:shd w:val="clear" w:color="auto" w:fill="FEF2CC" w:themeFill="accent4" w:themeFillTint="33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/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96" w:type="dxa"/>
            <w:vMerge w:val="restart"/>
            <w:shd w:val="clear" w:color="000000" w:fill="D0CECE"/>
            <w:noWrap/>
            <w:vAlign w:val="center"/>
          </w:tcPr>
          <w:p>
            <w:pPr>
              <w:jc w:val="center"/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评分项</w:t>
            </w:r>
          </w:p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5.2.1</w:t>
            </w:r>
          </w:p>
        </w:tc>
        <w:tc>
          <w:tcPr>
            <w:tcW w:w="3347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室内空气中化学类污染物浓度限值分别为甲醛0.09，苯0.099，TVOC 0.54。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3分</w:t>
            </w:r>
          </w:p>
        </w:tc>
        <w:tc>
          <w:tcPr>
            <w:tcW w:w="175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3" w:name="评分项计算结果"/>
            <w:r>
              <w:rPr>
                <w:rFonts w:ascii="Times New Roman" w:hAnsi="Times New Roman" w:cs="Times New Roman"/>
              </w:rPr>
              <w:t>所有房间均满足要求</w:t>
            </w:r>
            <w:bookmarkEnd w:id="33"/>
          </w:p>
        </w:tc>
        <w:tc>
          <w:tcPr>
            <w:tcW w:w="1028" w:type="dxa"/>
            <w:vMerge w:val="restart"/>
            <w:shd w:val="clear" w:color="auto" w:fill="FEF2CC" w:themeFill="accent4" w:themeFillTint="33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/</w:t>
            </w:r>
          </w:p>
        </w:tc>
        <w:tc>
          <w:tcPr>
            <w:tcW w:w="512" w:type="dxa"/>
            <w:vMerge w:val="restart"/>
            <w:shd w:val="clear" w:color="auto" w:fill="FEF2CC" w:themeFill="accent4" w:themeFillTint="33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4" w:name="评分项计算得分"/>
            <w:r>
              <w:rPr>
                <w:rFonts w:ascii="Times New Roman" w:hAnsi="Times New Roman" w:cs="Times New Roman"/>
                <w:b/>
              </w:rPr>
              <w:t>3</w:t>
            </w:r>
            <w:bookmarkEnd w:id="34"/>
            <w:r>
              <w:rPr>
                <w:rFonts w:ascii="Times New Roman" w:hAnsi="Times New Roman" w:cs="Times New Roman"/>
                <w:b/>
              </w:rPr>
              <w:t>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996" w:type="dxa"/>
            <w:vMerge w:val="continue"/>
            <w:shd w:val="clear" w:color="auto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7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室内空气中化学类污染物浓度限值分别为甲醛0.08，苯0.088，TVOC 0.48。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6分</w:t>
            </w:r>
          </w:p>
        </w:tc>
        <w:tc>
          <w:tcPr>
            <w:tcW w:w="175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8" w:type="dxa"/>
            <w:vMerge w:val="continue"/>
            <w:shd w:val="clear" w:color="auto" w:fill="FEF2CC" w:themeFill="accent4" w:themeFillTint="33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2" w:type="dxa"/>
            <w:vMerge w:val="continue"/>
            <w:shd w:val="clear" w:color="auto" w:fill="FEF2CC" w:themeFill="accent4" w:themeFillTint="33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>
      <w:pPr>
        <w:ind w:left="-567" w:leftChars="-270"/>
        <w:jc w:val="center"/>
        <w:rPr>
          <w:rFonts w:ascii="Times New Roman" w:hAnsi="Times New Roman" w:eastAsia="等线" w:cs="Times New Roman"/>
          <w:bCs/>
          <w:sz w:val="18"/>
        </w:rPr>
      </w:pPr>
      <w:r>
        <w:rPr>
          <w:rFonts w:ascii="Times New Roman" w:hAnsi="Times New Roman" w:eastAsia="等线" w:cs="Times New Roman"/>
          <w:bCs/>
        </w:rPr>
        <w:t>说明:甲醛、苯数值为1小时均值,单位mg/m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  <w:r>
        <w:rPr>
          <w:rFonts w:ascii="Times New Roman" w:hAnsi="Times New Roman" w:eastAsia="等线" w:cs="Times New Roman"/>
          <w:bCs/>
        </w:rPr>
        <w:t>；TVOC为8小时均值单位mg/m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</w:p>
    <w:sectPr>
      <w:headerReference r:id="rId8" w:type="default"/>
      <w:pgSz w:w="11906" w:h="16838"/>
      <w:pgMar w:top="1440" w:right="1800" w:bottom="1440" w:left="1800" w:header="851" w:footer="17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  <w:r>
      <w:fldChar w:fldCharType="begin"/>
    </w:r>
    <w:r>
      <w:instrText xml:space="preserve"> HYPERLINK "http://www.gbsware.cn/" </w:instrText>
    </w:r>
    <w:r>
      <w:fldChar w:fldCharType="separate"/>
    </w:r>
    <w:r>
      <w:rPr>
        <w:rStyle w:val="22"/>
        <w:rFonts w:ascii="宋体" w:hAnsi="宋体"/>
        <w:sz w:val="20"/>
      </w:rPr>
      <w:t>http://www.gbsware.cn/</w:t>
    </w:r>
    <w:r>
      <w:rPr>
        <w:rStyle w:val="22"/>
        <w:rFonts w:ascii="宋体" w:hAnsi="宋体"/>
        <w:sz w:val="20"/>
      </w:rPr>
      <w:fldChar w:fldCharType="end"/>
    </w:r>
    <w:r>
      <w:rPr>
        <w:rFonts w:ascii="宋体" w:hAnsi="宋体"/>
        <w:color w:val="0000FF"/>
        <w:sz w:val="20"/>
      </w:rPr>
      <w:t xml:space="preserve">               </w:t>
    </w:r>
    <w:r>
      <w:rPr>
        <w:rFonts w:ascii="宋体" w:hAnsi="宋体"/>
        <w:sz w:val="20"/>
        <w:szCs w:val="20"/>
      </w:rPr>
      <w:t>第</w:t>
    </w:r>
    <w:sdt>
      <w:sdtPr>
        <w:rPr>
          <w:rFonts w:ascii="宋体" w:hAnsi="宋体"/>
          <w:sz w:val="20"/>
          <w:szCs w:val="20"/>
        </w:rPr>
        <w:id w:val="-1742397737"/>
        <w:docPartObj>
          <w:docPartGallery w:val="AutoText"/>
        </w:docPartObj>
      </w:sdtPr>
      <w:sdtEndPr>
        <w:rPr>
          <w:rFonts w:asciiTheme="minorHAnsi" w:hAnsiTheme="minorHAnsi"/>
          <w:sz w:val="18"/>
          <w:szCs w:val="18"/>
        </w:rPr>
      </w:sdtEndPr>
      <w:sdtContent>
        <w:sdt>
          <w:sdtPr>
            <w:rPr>
              <w:rFonts w:ascii="宋体" w:hAnsi="宋体"/>
              <w:sz w:val="20"/>
              <w:szCs w:val="20"/>
            </w:rPr>
            <w:id w:val="1728636285"/>
            <w:docPartObj>
              <w:docPartGallery w:val="AutoText"/>
            </w:docPartObj>
          </w:sdtPr>
          <w:sdtEndPr>
            <w:rPr>
              <w:rFonts w:asciiTheme="minorHAnsi" w:hAnsiTheme="minorHAnsi"/>
              <w:sz w:val="18"/>
              <w:szCs w:val="18"/>
            </w:rPr>
          </w:sdtEndPr>
          <w:sdtContent>
            <w:r>
              <w:rPr>
                <w:rFonts w:ascii="宋体" w:hAnsi="宋体"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宋体" w:hAnsi="宋体"/>
                <w:bCs/>
                <w:sz w:val="20"/>
                <w:szCs w:val="20"/>
              </w:rPr>
              <w:fldChar w:fldCharType="begin"/>
            </w:r>
            <w:r>
              <w:rPr>
                <w:rFonts w:ascii="宋体" w:hAnsi="宋体"/>
                <w:bCs/>
                <w:sz w:val="20"/>
                <w:szCs w:val="20"/>
              </w:rPr>
              <w:instrText xml:space="preserve">PAGE</w:instrText>
            </w:r>
            <w:r>
              <w:rPr>
                <w:rFonts w:ascii="宋体" w:hAnsi="宋体"/>
                <w:bCs/>
                <w:sz w:val="20"/>
                <w:szCs w:val="20"/>
              </w:rPr>
              <w:fldChar w:fldCharType="separate"/>
            </w:r>
            <w:r>
              <w:rPr>
                <w:rFonts w:ascii="宋体" w:hAnsi="宋体"/>
                <w:bCs/>
                <w:sz w:val="20"/>
                <w:szCs w:val="20"/>
              </w:rPr>
              <w:t>3</w:t>
            </w:r>
            <w:r>
              <w:rPr>
                <w:rFonts w:ascii="宋体" w:hAnsi="宋体"/>
                <w:bCs/>
                <w:sz w:val="20"/>
                <w:szCs w:val="20"/>
              </w:rPr>
              <w:fldChar w:fldCharType="end"/>
            </w:r>
            <w:r>
              <w:rPr>
                <w:rFonts w:ascii="宋体" w:hAnsi="宋体"/>
                <w:bCs/>
                <w:sz w:val="20"/>
                <w:szCs w:val="20"/>
              </w:rPr>
              <w:t>页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 xml:space="preserve"> </w:t>
            </w:r>
            <w:r>
              <w:rPr>
                <w:rFonts w:ascii="宋体" w:hAnsi="宋体"/>
                <w:bCs/>
                <w:sz w:val="20"/>
                <w:szCs w:val="20"/>
              </w:rPr>
              <w:t>共</w:t>
            </w:r>
            <w:r>
              <w:rPr>
                <w:rFonts w:ascii="宋体" w:hAnsi="宋体"/>
                <w:bCs/>
                <w:sz w:val="20"/>
                <w:szCs w:val="20"/>
              </w:rPr>
              <w:fldChar w:fldCharType="begin"/>
            </w:r>
            <w:r>
              <w:rPr>
                <w:rFonts w:ascii="宋体" w:hAnsi="宋体"/>
                <w:bCs/>
                <w:sz w:val="20"/>
                <w:szCs w:val="20"/>
              </w:rPr>
              <w:instrText xml:space="preserve">NUMPAGES</w:instrText>
            </w:r>
            <w:r>
              <w:rPr>
                <w:rFonts w:ascii="宋体" w:hAnsi="宋体"/>
                <w:bCs/>
                <w:sz w:val="20"/>
                <w:szCs w:val="20"/>
              </w:rPr>
              <w:fldChar w:fldCharType="separate"/>
            </w:r>
            <w:r>
              <w:rPr>
                <w:rFonts w:ascii="宋体" w:hAnsi="宋体"/>
                <w:bCs/>
                <w:sz w:val="20"/>
                <w:szCs w:val="20"/>
              </w:rPr>
              <w:t>6</w:t>
            </w:r>
            <w:r>
              <w:rPr>
                <w:rFonts w:ascii="宋体" w:hAnsi="宋体"/>
                <w:bCs/>
                <w:sz w:val="20"/>
                <w:szCs w:val="20"/>
              </w:rPr>
              <w:fldChar w:fldCharType="end"/>
            </w:r>
            <w:r>
              <w:rPr>
                <w:rFonts w:ascii="宋体" w:hAnsi="宋体"/>
                <w:bCs/>
                <w:sz w:val="20"/>
                <w:szCs w:val="20"/>
              </w:rPr>
              <w:t>页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 xml:space="preserve"> </w:t>
            </w:r>
            <w:r>
              <w:rPr>
                <w:rFonts w:ascii="宋体" w:hAnsi="宋体"/>
                <w:bCs/>
                <w:sz w:val="20"/>
                <w:szCs w:val="20"/>
              </w:rPr>
              <w:t xml:space="preserve">                  VENT2020</w:t>
            </w:r>
          </w:sdtContent>
        </w:sdt>
      </w:sdtContent>
    </w:sdt>
  </w:p>
  <w:p>
    <w:pPr>
      <w:pStyle w:val="14"/>
      <w:spacing w:before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spacing w:before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spacing w:before="12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spacing w:before="120"/>
      <w:jc w:val="left"/>
    </w:pPr>
    <w:r>
      <w:drawing>
        <wp:inline distT="0" distB="0" distL="0" distR="0">
          <wp:extent cx="972185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</w:t>
    </w:r>
    <w:r>
      <w:rPr>
        <w:rFonts w:hint="eastAsia"/>
      </w:rPr>
      <w:t>空气质量评价报告书-有机挥发物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wordWrap w:val="0"/>
      <w:spacing w:before="120"/>
      <w:jc w:val="right"/>
      <w:rPr>
        <w:rFonts w:ascii="Arial" w:hAnsi="Arial" w:cs="Arial"/>
        <w:b/>
        <w:bCs/>
        <w:kern w:val="0"/>
        <w:szCs w:val="21"/>
      </w:rPr>
    </w:pPr>
    <w:r>
      <w:rPr>
        <w:rFonts w:hint="eastAsia" w:ascii="Arial" w:hAnsi="Arial" w:cs="Arial"/>
        <w:b/>
        <w:bCs/>
        <w:kern w:val="0"/>
        <w:szCs w:val="21"/>
      </w:rPr>
      <w:t>第5章  辅助工具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spacing w:before="120"/>
      <w:jc w:val="left"/>
    </w:pPr>
    <w: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    </w:t>
    </w:r>
    <w:r>
      <w:rPr>
        <w:rFonts w:hint="eastAsia"/>
      </w:rPr>
      <w:t>空气质量评价报告书-有机挥发物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C27A4D"/>
    <w:multiLevelType w:val="multilevel"/>
    <w:tmpl w:val="02C27A4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815B1"/>
    <w:multiLevelType w:val="multilevel"/>
    <w:tmpl w:val="1FF815B1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default" w:ascii="Arial" w:hAnsi="Arial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6250"/>
        </w:tabs>
        <w:ind w:left="2847" w:hanging="720"/>
      </w:pPr>
      <w:rPr>
        <w:rFonts w:hint="default" w:ascii="Arial" w:hAnsi="Arial"/>
        <w:sz w:val="24"/>
        <w:szCs w:val="22"/>
        <w:lang w:val="en-US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1148"/>
        </w:tabs>
        <w:ind w:left="1148" w:hanging="864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 w14:prst="orthographicFront"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2">
    <w:nsid w:val="6004520A"/>
    <w:multiLevelType w:val="multilevel"/>
    <w:tmpl w:val="6004520A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ascii="Times New Roman" w:hAnsi="Times New Roman" w:eastAsia="宋体"/>
        <w:b w:val="0"/>
        <w:i w:val="0"/>
        <w:sz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decimal"/>
      <w:lvlText w:val="%3）"/>
      <w:lvlJc w:val="left"/>
      <w:pPr>
        <w:ind w:left="567" w:hanging="567"/>
      </w:pPr>
      <w:rPr>
        <w:rFonts w:hint="default" w:ascii="Times New Roman" w:hAnsi="Times New Roman" w:eastAsia="宋体" w:cs="Times New Roman"/>
        <w:b w:val="0"/>
        <w:w w:val="100"/>
        <w:sz w:val="24"/>
        <w:szCs w:val="24"/>
      </w:r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8FB2453"/>
    <w:rsid w:val="00011B45"/>
    <w:rsid w:val="000136EE"/>
    <w:rsid w:val="00025F1E"/>
    <w:rsid w:val="00027662"/>
    <w:rsid w:val="00035395"/>
    <w:rsid w:val="00037932"/>
    <w:rsid w:val="00041E31"/>
    <w:rsid w:val="00041E68"/>
    <w:rsid w:val="00042122"/>
    <w:rsid w:val="00051980"/>
    <w:rsid w:val="000775BE"/>
    <w:rsid w:val="00077C2D"/>
    <w:rsid w:val="00086E49"/>
    <w:rsid w:val="00094CB6"/>
    <w:rsid w:val="000969C6"/>
    <w:rsid w:val="0009759D"/>
    <w:rsid w:val="000B05C6"/>
    <w:rsid w:val="000B40FE"/>
    <w:rsid w:val="000D3537"/>
    <w:rsid w:val="000E5D33"/>
    <w:rsid w:val="000F2869"/>
    <w:rsid w:val="000F3959"/>
    <w:rsid w:val="001114AF"/>
    <w:rsid w:val="001174C9"/>
    <w:rsid w:val="00135719"/>
    <w:rsid w:val="001526B8"/>
    <w:rsid w:val="00153E6C"/>
    <w:rsid w:val="00154D5D"/>
    <w:rsid w:val="00162B02"/>
    <w:rsid w:val="00166C06"/>
    <w:rsid w:val="001765C5"/>
    <w:rsid w:val="00196E69"/>
    <w:rsid w:val="0019715D"/>
    <w:rsid w:val="001A3A41"/>
    <w:rsid w:val="001B04AD"/>
    <w:rsid w:val="001B395E"/>
    <w:rsid w:val="001B6F86"/>
    <w:rsid w:val="001B75E2"/>
    <w:rsid w:val="001C367D"/>
    <w:rsid w:val="001C62CB"/>
    <w:rsid w:val="001D35B1"/>
    <w:rsid w:val="001E4985"/>
    <w:rsid w:val="001E7907"/>
    <w:rsid w:val="001F2382"/>
    <w:rsid w:val="002037B4"/>
    <w:rsid w:val="00206B72"/>
    <w:rsid w:val="00220E97"/>
    <w:rsid w:val="002255D3"/>
    <w:rsid w:val="00225F08"/>
    <w:rsid w:val="00226F4A"/>
    <w:rsid w:val="002335FB"/>
    <w:rsid w:val="00242FE6"/>
    <w:rsid w:val="0024623A"/>
    <w:rsid w:val="00246642"/>
    <w:rsid w:val="00250D31"/>
    <w:rsid w:val="00255A06"/>
    <w:rsid w:val="00262392"/>
    <w:rsid w:val="00264D8E"/>
    <w:rsid w:val="0027361A"/>
    <w:rsid w:val="00293CAD"/>
    <w:rsid w:val="00295A6D"/>
    <w:rsid w:val="00297AF8"/>
    <w:rsid w:val="002A1A0D"/>
    <w:rsid w:val="002B43F0"/>
    <w:rsid w:val="002C7BB1"/>
    <w:rsid w:val="002D09EA"/>
    <w:rsid w:val="002D4227"/>
    <w:rsid w:val="002D7691"/>
    <w:rsid w:val="002E6051"/>
    <w:rsid w:val="002F0855"/>
    <w:rsid w:val="002F69FC"/>
    <w:rsid w:val="002F7BFE"/>
    <w:rsid w:val="00301717"/>
    <w:rsid w:val="00302A9E"/>
    <w:rsid w:val="00317224"/>
    <w:rsid w:val="00323938"/>
    <w:rsid w:val="003258AD"/>
    <w:rsid w:val="00335097"/>
    <w:rsid w:val="0034094D"/>
    <w:rsid w:val="0034616B"/>
    <w:rsid w:val="003472CD"/>
    <w:rsid w:val="00350030"/>
    <w:rsid w:val="00352241"/>
    <w:rsid w:val="00355A6D"/>
    <w:rsid w:val="00361C09"/>
    <w:rsid w:val="0036598D"/>
    <w:rsid w:val="0037469D"/>
    <w:rsid w:val="00374E52"/>
    <w:rsid w:val="0037770A"/>
    <w:rsid w:val="00386143"/>
    <w:rsid w:val="00394A3E"/>
    <w:rsid w:val="003958C8"/>
    <w:rsid w:val="003B0D12"/>
    <w:rsid w:val="003B4EE2"/>
    <w:rsid w:val="003E1937"/>
    <w:rsid w:val="003E6A2B"/>
    <w:rsid w:val="003F016E"/>
    <w:rsid w:val="003F6E7A"/>
    <w:rsid w:val="00405BBB"/>
    <w:rsid w:val="0041007A"/>
    <w:rsid w:val="00420518"/>
    <w:rsid w:val="004247D2"/>
    <w:rsid w:val="00432177"/>
    <w:rsid w:val="00435665"/>
    <w:rsid w:val="00441C7D"/>
    <w:rsid w:val="004447D6"/>
    <w:rsid w:val="004474A8"/>
    <w:rsid w:val="00457979"/>
    <w:rsid w:val="00465382"/>
    <w:rsid w:val="0047522F"/>
    <w:rsid w:val="0049455C"/>
    <w:rsid w:val="00494E5E"/>
    <w:rsid w:val="00497D0F"/>
    <w:rsid w:val="004A4667"/>
    <w:rsid w:val="004B462B"/>
    <w:rsid w:val="004C1BD9"/>
    <w:rsid w:val="004D0C5B"/>
    <w:rsid w:val="004D17EA"/>
    <w:rsid w:val="004E5E9C"/>
    <w:rsid w:val="004F4904"/>
    <w:rsid w:val="0050628C"/>
    <w:rsid w:val="005069CE"/>
    <w:rsid w:val="005125E0"/>
    <w:rsid w:val="00512B28"/>
    <w:rsid w:val="005220A2"/>
    <w:rsid w:val="00523796"/>
    <w:rsid w:val="00525EDB"/>
    <w:rsid w:val="00531E53"/>
    <w:rsid w:val="005323F4"/>
    <w:rsid w:val="00540EEC"/>
    <w:rsid w:val="005456F7"/>
    <w:rsid w:val="00552487"/>
    <w:rsid w:val="00552D6A"/>
    <w:rsid w:val="005575B0"/>
    <w:rsid w:val="005608F5"/>
    <w:rsid w:val="00571148"/>
    <w:rsid w:val="00581CBA"/>
    <w:rsid w:val="005909F1"/>
    <w:rsid w:val="005A2563"/>
    <w:rsid w:val="005B273D"/>
    <w:rsid w:val="005B6D12"/>
    <w:rsid w:val="005B7D64"/>
    <w:rsid w:val="005C2A6E"/>
    <w:rsid w:val="005D10FE"/>
    <w:rsid w:val="005D3003"/>
    <w:rsid w:val="005E4515"/>
    <w:rsid w:val="005E510C"/>
    <w:rsid w:val="005E72E9"/>
    <w:rsid w:val="005E73F0"/>
    <w:rsid w:val="005F41CA"/>
    <w:rsid w:val="005F7934"/>
    <w:rsid w:val="00605B90"/>
    <w:rsid w:val="006068C3"/>
    <w:rsid w:val="006123A7"/>
    <w:rsid w:val="00622657"/>
    <w:rsid w:val="006553D7"/>
    <w:rsid w:val="00681C57"/>
    <w:rsid w:val="0068619F"/>
    <w:rsid w:val="00691508"/>
    <w:rsid w:val="00692316"/>
    <w:rsid w:val="00694676"/>
    <w:rsid w:val="00696BEB"/>
    <w:rsid w:val="006A0292"/>
    <w:rsid w:val="006A13A0"/>
    <w:rsid w:val="006C02BE"/>
    <w:rsid w:val="006C297B"/>
    <w:rsid w:val="006C3279"/>
    <w:rsid w:val="006C36EC"/>
    <w:rsid w:val="006E020E"/>
    <w:rsid w:val="006E556C"/>
    <w:rsid w:val="006F4033"/>
    <w:rsid w:val="007012A6"/>
    <w:rsid w:val="00701896"/>
    <w:rsid w:val="00705ADB"/>
    <w:rsid w:val="0071009E"/>
    <w:rsid w:val="00712766"/>
    <w:rsid w:val="0072415F"/>
    <w:rsid w:val="00725C0E"/>
    <w:rsid w:val="00727558"/>
    <w:rsid w:val="0073428B"/>
    <w:rsid w:val="00742D87"/>
    <w:rsid w:val="00752BE7"/>
    <w:rsid w:val="00753A72"/>
    <w:rsid w:val="00753EC9"/>
    <w:rsid w:val="007605C4"/>
    <w:rsid w:val="007715A2"/>
    <w:rsid w:val="007853F8"/>
    <w:rsid w:val="00785457"/>
    <w:rsid w:val="007855C9"/>
    <w:rsid w:val="0079129A"/>
    <w:rsid w:val="00791EEA"/>
    <w:rsid w:val="00796157"/>
    <w:rsid w:val="007A08D3"/>
    <w:rsid w:val="007C33DC"/>
    <w:rsid w:val="007C387A"/>
    <w:rsid w:val="007C420F"/>
    <w:rsid w:val="007C4F02"/>
    <w:rsid w:val="007D5933"/>
    <w:rsid w:val="007E023C"/>
    <w:rsid w:val="00812565"/>
    <w:rsid w:val="008245C2"/>
    <w:rsid w:val="00847726"/>
    <w:rsid w:val="008521A5"/>
    <w:rsid w:val="00856BA7"/>
    <w:rsid w:val="0086589E"/>
    <w:rsid w:val="00870343"/>
    <w:rsid w:val="00880815"/>
    <w:rsid w:val="0089054F"/>
    <w:rsid w:val="00890992"/>
    <w:rsid w:val="00897570"/>
    <w:rsid w:val="008B17C0"/>
    <w:rsid w:val="008B62DB"/>
    <w:rsid w:val="008C7663"/>
    <w:rsid w:val="008E7106"/>
    <w:rsid w:val="008F544D"/>
    <w:rsid w:val="008F70BC"/>
    <w:rsid w:val="00906195"/>
    <w:rsid w:val="00921CC2"/>
    <w:rsid w:val="00933C85"/>
    <w:rsid w:val="00942DA9"/>
    <w:rsid w:val="009435E1"/>
    <w:rsid w:val="00946FAC"/>
    <w:rsid w:val="00951F8E"/>
    <w:rsid w:val="009606AE"/>
    <w:rsid w:val="00973CE5"/>
    <w:rsid w:val="00981B40"/>
    <w:rsid w:val="009945E4"/>
    <w:rsid w:val="009A6270"/>
    <w:rsid w:val="009C1D29"/>
    <w:rsid w:val="009C66FD"/>
    <w:rsid w:val="009D1CE2"/>
    <w:rsid w:val="009D7B95"/>
    <w:rsid w:val="009E20BA"/>
    <w:rsid w:val="009E6C8F"/>
    <w:rsid w:val="009F6B6C"/>
    <w:rsid w:val="00A13308"/>
    <w:rsid w:val="00A22EBC"/>
    <w:rsid w:val="00A22F3F"/>
    <w:rsid w:val="00A23379"/>
    <w:rsid w:val="00A25651"/>
    <w:rsid w:val="00A26843"/>
    <w:rsid w:val="00A4399F"/>
    <w:rsid w:val="00A4747A"/>
    <w:rsid w:val="00A51FED"/>
    <w:rsid w:val="00A61AFA"/>
    <w:rsid w:val="00A61F49"/>
    <w:rsid w:val="00A630CD"/>
    <w:rsid w:val="00A631E5"/>
    <w:rsid w:val="00A638D8"/>
    <w:rsid w:val="00A6627A"/>
    <w:rsid w:val="00A66A9D"/>
    <w:rsid w:val="00A83F3D"/>
    <w:rsid w:val="00A921EA"/>
    <w:rsid w:val="00A97D3A"/>
    <w:rsid w:val="00AA2355"/>
    <w:rsid w:val="00AA380E"/>
    <w:rsid w:val="00AA673C"/>
    <w:rsid w:val="00AB098D"/>
    <w:rsid w:val="00AB7079"/>
    <w:rsid w:val="00AC234E"/>
    <w:rsid w:val="00AC4337"/>
    <w:rsid w:val="00AC69D7"/>
    <w:rsid w:val="00AD0A95"/>
    <w:rsid w:val="00AD1100"/>
    <w:rsid w:val="00AD6241"/>
    <w:rsid w:val="00AE59E1"/>
    <w:rsid w:val="00AF001E"/>
    <w:rsid w:val="00B02310"/>
    <w:rsid w:val="00B1755F"/>
    <w:rsid w:val="00B207FE"/>
    <w:rsid w:val="00B218E2"/>
    <w:rsid w:val="00B268F3"/>
    <w:rsid w:val="00B524D0"/>
    <w:rsid w:val="00B606AE"/>
    <w:rsid w:val="00B64E91"/>
    <w:rsid w:val="00B65585"/>
    <w:rsid w:val="00B72EEA"/>
    <w:rsid w:val="00B735CE"/>
    <w:rsid w:val="00B73CB8"/>
    <w:rsid w:val="00B81BA3"/>
    <w:rsid w:val="00B8745D"/>
    <w:rsid w:val="00BB295F"/>
    <w:rsid w:val="00BB3FDF"/>
    <w:rsid w:val="00BC0D49"/>
    <w:rsid w:val="00BC2011"/>
    <w:rsid w:val="00BE4774"/>
    <w:rsid w:val="00BE54A9"/>
    <w:rsid w:val="00BE74FF"/>
    <w:rsid w:val="00C0612E"/>
    <w:rsid w:val="00C10561"/>
    <w:rsid w:val="00C23814"/>
    <w:rsid w:val="00C24926"/>
    <w:rsid w:val="00C251CC"/>
    <w:rsid w:val="00C307FF"/>
    <w:rsid w:val="00C345D9"/>
    <w:rsid w:val="00C37633"/>
    <w:rsid w:val="00C41BE0"/>
    <w:rsid w:val="00C5217A"/>
    <w:rsid w:val="00C55228"/>
    <w:rsid w:val="00C557A8"/>
    <w:rsid w:val="00C55CA9"/>
    <w:rsid w:val="00C56887"/>
    <w:rsid w:val="00C66B2C"/>
    <w:rsid w:val="00C81D9A"/>
    <w:rsid w:val="00C86624"/>
    <w:rsid w:val="00C86E16"/>
    <w:rsid w:val="00C932B7"/>
    <w:rsid w:val="00CA2C38"/>
    <w:rsid w:val="00CA3654"/>
    <w:rsid w:val="00CA6F67"/>
    <w:rsid w:val="00CB2B3B"/>
    <w:rsid w:val="00CD1EEE"/>
    <w:rsid w:val="00CD50A4"/>
    <w:rsid w:val="00CD701B"/>
    <w:rsid w:val="00CF38B9"/>
    <w:rsid w:val="00D06B02"/>
    <w:rsid w:val="00D10E98"/>
    <w:rsid w:val="00D116D6"/>
    <w:rsid w:val="00D11D15"/>
    <w:rsid w:val="00D14AF1"/>
    <w:rsid w:val="00D1751B"/>
    <w:rsid w:val="00D23EE1"/>
    <w:rsid w:val="00D301D5"/>
    <w:rsid w:val="00D30F45"/>
    <w:rsid w:val="00D321E0"/>
    <w:rsid w:val="00D365DD"/>
    <w:rsid w:val="00D47C87"/>
    <w:rsid w:val="00D57A82"/>
    <w:rsid w:val="00D62490"/>
    <w:rsid w:val="00D647D4"/>
    <w:rsid w:val="00D71D09"/>
    <w:rsid w:val="00D76982"/>
    <w:rsid w:val="00D81D99"/>
    <w:rsid w:val="00D83C7A"/>
    <w:rsid w:val="00D8730F"/>
    <w:rsid w:val="00D87F89"/>
    <w:rsid w:val="00DA1207"/>
    <w:rsid w:val="00DB03AB"/>
    <w:rsid w:val="00DB29D3"/>
    <w:rsid w:val="00DB2A94"/>
    <w:rsid w:val="00DB672D"/>
    <w:rsid w:val="00DB7BE0"/>
    <w:rsid w:val="00DC33AE"/>
    <w:rsid w:val="00DC6C2F"/>
    <w:rsid w:val="00DD6E08"/>
    <w:rsid w:val="00DF0538"/>
    <w:rsid w:val="00DF4794"/>
    <w:rsid w:val="00E235B1"/>
    <w:rsid w:val="00E265D8"/>
    <w:rsid w:val="00E34FE8"/>
    <w:rsid w:val="00E3686F"/>
    <w:rsid w:val="00E440B9"/>
    <w:rsid w:val="00E47C25"/>
    <w:rsid w:val="00E5235F"/>
    <w:rsid w:val="00E53610"/>
    <w:rsid w:val="00E54255"/>
    <w:rsid w:val="00E575FD"/>
    <w:rsid w:val="00E66661"/>
    <w:rsid w:val="00E7623F"/>
    <w:rsid w:val="00E85443"/>
    <w:rsid w:val="00E90A65"/>
    <w:rsid w:val="00E94A70"/>
    <w:rsid w:val="00EA0BC8"/>
    <w:rsid w:val="00EA563F"/>
    <w:rsid w:val="00EB3BEF"/>
    <w:rsid w:val="00EB6BE8"/>
    <w:rsid w:val="00EB6DF0"/>
    <w:rsid w:val="00EB7FA7"/>
    <w:rsid w:val="00EC18EB"/>
    <w:rsid w:val="00ED4928"/>
    <w:rsid w:val="00ED6EAB"/>
    <w:rsid w:val="00EE1AC5"/>
    <w:rsid w:val="00EE3088"/>
    <w:rsid w:val="00EF0BA0"/>
    <w:rsid w:val="00EF7FDF"/>
    <w:rsid w:val="00F06B9A"/>
    <w:rsid w:val="00F07937"/>
    <w:rsid w:val="00F134A0"/>
    <w:rsid w:val="00F13544"/>
    <w:rsid w:val="00F15999"/>
    <w:rsid w:val="00F33658"/>
    <w:rsid w:val="00F3425F"/>
    <w:rsid w:val="00F37552"/>
    <w:rsid w:val="00F456E7"/>
    <w:rsid w:val="00F53983"/>
    <w:rsid w:val="00F56B42"/>
    <w:rsid w:val="00F56FFA"/>
    <w:rsid w:val="00F6077D"/>
    <w:rsid w:val="00F63AC3"/>
    <w:rsid w:val="00F67D09"/>
    <w:rsid w:val="00F71859"/>
    <w:rsid w:val="00F75380"/>
    <w:rsid w:val="00F77776"/>
    <w:rsid w:val="00F87D86"/>
    <w:rsid w:val="00F939B0"/>
    <w:rsid w:val="00FA014C"/>
    <w:rsid w:val="00FA63CF"/>
    <w:rsid w:val="00FB47A9"/>
    <w:rsid w:val="00FB58E6"/>
    <w:rsid w:val="00FB6679"/>
    <w:rsid w:val="00FC1AB2"/>
    <w:rsid w:val="00FD0229"/>
    <w:rsid w:val="00FD676D"/>
    <w:rsid w:val="00FF2261"/>
    <w:rsid w:val="00FF639F"/>
    <w:rsid w:val="78FB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0"/>
    <w:qFormat/>
    <w:uiPriority w:val="9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9"/>
    <w:qFormat/>
    <w:uiPriority w:val="0"/>
    <w:pPr>
      <w:keepNext/>
      <w:keepLines/>
      <w:widowControl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 w:cs="Times New Roman"/>
      <w:b/>
      <w:bCs/>
      <w:sz w:val="30"/>
      <w:szCs w:val="32"/>
      <w:lang w:val="zh-CN" w:eastAsia="zh-CN"/>
    </w:rPr>
  </w:style>
  <w:style w:type="paragraph" w:styleId="4">
    <w:name w:val="heading 3"/>
    <w:basedOn w:val="1"/>
    <w:next w:val="1"/>
    <w:link w:val="27"/>
    <w:qFormat/>
    <w:uiPriority w:val="0"/>
    <w:pPr>
      <w:keepNext/>
      <w:keepLines/>
      <w:widowControl/>
      <w:numPr>
        <w:ilvl w:val="2"/>
        <w:numId w:val="1"/>
      </w:numPr>
      <w:spacing w:line="415" w:lineRule="auto"/>
      <w:outlineLvl w:val="2"/>
    </w:pPr>
    <w:rPr>
      <w:rFonts w:ascii="Times New Roman" w:hAnsi="Times New Roman" w:eastAsia="黑体" w:cs="Times New Roman"/>
      <w:b/>
      <w:bCs/>
      <w:sz w:val="28"/>
      <w:szCs w:val="24"/>
      <w:lang w:val="zh-CN" w:eastAsia="zh-CN"/>
    </w:rPr>
  </w:style>
  <w:style w:type="paragraph" w:styleId="5">
    <w:name w:val="heading 4"/>
    <w:basedOn w:val="1"/>
    <w:next w:val="1"/>
    <w:link w:val="28"/>
    <w:qFormat/>
    <w:uiPriority w:val="0"/>
    <w:pPr>
      <w:keepNext/>
      <w:keepLines/>
      <w:widowControl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 w:cs="Times New Roman"/>
      <w:b/>
      <w:bCs/>
      <w:sz w:val="24"/>
      <w:szCs w:val="28"/>
    </w:rPr>
  </w:style>
  <w:style w:type="paragraph" w:styleId="6">
    <w:name w:val="heading 5"/>
    <w:basedOn w:val="3"/>
    <w:next w:val="1"/>
    <w:link w:val="31"/>
    <w:qFormat/>
    <w:uiPriority w:val="0"/>
    <w:pPr>
      <w:numPr>
        <w:ilvl w:val="0"/>
        <w:numId w:val="0"/>
      </w:numPr>
      <w:tabs>
        <w:tab w:val="left" w:pos="1008"/>
      </w:tabs>
      <w:spacing w:before="280" w:after="290" w:line="376" w:lineRule="auto"/>
      <w:ind w:left="1008" w:hanging="1008"/>
      <w:outlineLvl w:val="4"/>
    </w:pPr>
    <w:rPr>
      <w:bCs w:val="0"/>
      <w:sz w:val="28"/>
      <w:szCs w:val="28"/>
    </w:rPr>
  </w:style>
  <w:style w:type="paragraph" w:styleId="7">
    <w:name w:val="heading 6"/>
    <w:basedOn w:val="1"/>
    <w:next w:val="1"/>
    <w:link w:val="32"/>
    <w:qFormat/>
    <w:uiPriority w:val="0"/>
    <w:pPr>
      <w:keepNext/>
      <w:keepLines/>
      <w:widowControl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="Arial" w:hAnsi="Arial" w:eastAsia="黑体" w:cs="Times New Roman"/>
      <w:b/>
      <w:bCs/>
      <w:sz w:val="24"/>
      <w:szCs w:val="24"/>
    </w:rPr>
  </w:style>
  <w:style w:type="paragraph" w:styleId="8">
    <w:name w:val="heading 7"/>
    <w:basedOn w:val="1"/>
    <w:next w:val="1"/>
    <w:link w:val="33"/>
    <w:qFormat/>
    <w:uiPriority w:val="0"/>
    <w:pPr>
      <w:keepNext/>
      <w:keepLines/>
      <w:widowControl/>
      <w:tabs>
        <w:tab w:val="left" w:pos="1296"/>
      </w:tabs>
      <w:spacing w:before="240" w:after="64" w:line="320" w:lineRule="auto"/>
      <w:ind w:left="1296" w:hanging="1296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9">
    <w:name w:val="heading 8"/>
    <w:basedOn w:val="1"/>
    <w:next w:val="1"/>
    <w:link w:val="34"/>
    <w:qFormat/>
    <w:uiPriority w:val="0"/>
    <w:pPr>
      <w:keepNext/>
      <w:keepLines/>
      <w:widowControl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hAnsi="Arial" w:eastAsia="黑体" w:cs="Times New Roman"/>
      <w:sz w:val="24"/>
      <w:szCs w:val="24"/>
    </w:rPr>
  </w:style>
  <w:style w:type="paragraph" w:styleId="10">
    <w:name w:val="heading 9"/>
    <w:basedOn w:val="1"/>
    <w:next w:val="1"/>
    <w:link w:val="35"/>
    <w:qFormat/>
    <w:uiPriority w:val="0"/>
    <w:pPr>
      <w:keepNext/>
      <w:keepLines/>
      <w:widowControl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Arial" w:hAnsi="Arial" w:eastAsia="黑体" w:cs="Times New Roman"/>
      <w:szCs w:val="21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0"/>
    <w:semiHidden/>
    <w:unhideWhenUsed/>
    <w:uiPriority w:val="99"/>
    <w:rPr>
      <w:sz w:val="20"/>
      <w:szCs w:val="20"/>
    </w:rPr>
  </w:style>
  <w:style w:type="paragraph" w:styleId="12">
    <w:name w:val="toc 3"/>
    <w:basedOn w:val="1"/>
    <w:next w:val="1"/>
    <w:qFormat/>
    <w:uiPriority w:val="39"/>
    <w:pPr>
      <w:widowControl/>
      <w:ind w:left="840" w:leftChars="400"/>
    </w:pPr>
    <w:rPr>
      <w:rFonts w:ascii="Times New Roman" w:hAnsi="Times New Roman" w:cs="Times New Roman"/>
      <w:szCs w:val="24"/>
    </w:rPr>
  </w:style>
  <w:style w:type="paragraph" w:styleId="13">
    <w:name w:val="Balloon Text"/>
    <w:basedOn w:val="1"/>
    <w:link w:val="38"/>
    <w:semiHidden/>
    <w:unhideWhenUsed/>
    <w:uiPriority w:val="99"/>
    <w:rPr>
      <w:sz w:val="18"/>
      <w:szCs w:val="18"/>
    </w:rPr>
  </w:style>
  <w:style w:type="paragraph" w:styleId="14">
    <w:name w:val="footer"/>
    <w:basedOn w:val="1"/>
    <w:link w:val="2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24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qFormat/>
    <w:uiPriority w:val="39"/>
    <w:pPr>
      <w:widowControl/>
    </w:pPr>
    <w:rPr>
      <w:rFonts w:ascii="Times New Roman" w:hAnsi="Times New Roman" w:cs="Times New Roman"/>
      <w:szCs w:val="24"/>
    </w:rPr>
  </w:style>
  <w:style w:type="paragraph" w:styleId="17">
    <w:name w:val="toc 2"/>
    <w:basedOn w:val="1"/>
    <w:next w:val="1"/>
    <w:qFormat/>
    <w:uiPriority w:val="39"/>
    <w:pPr>
      <w:widowControl/>
      <w:ind w:left="200" w:leftChars="200"/>
    </w:pPr>
    <w:rPr>
      <w:rFonts w:ascii="Times New Roman" w:hAnsi="Times New Roman" w:cs="Times New Roman"/>
      <w:szCs w:val="24"/>
    </w:rPr>
  </w:style>
  <w:style w:type="paragraph" w:styleId="18">
    <w:name w:val="annotation subject"/>
    <w:basedOn w:val="11"/>
    <w:next w:val="11"/>
    <w:link w:val="41"/>
    <w:semiHidden/>
    <w:unhideWhenUsed/>
    <w:uiPriority w:val="99"/>
    <w:rPr>
      <w:b/>
      <w:bCs/>
    </w:rPr>
  </w:style>
  <w:style w:type="table" w:styleId="20">
    <w:name w:val="Table Grid"/>
    <w:basedOn w:val="1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Hyperlink"/>
    <w:uiPriority w:val="99"/>
    <w:rPr>
      <w:color w:val="0000FF"/>
      <w:u w:val="single"/>
    </w:rPr>
  </w:style>
  <w:style w:type="character" w:styleId="23">
    <w:name w:val="annotation reference"/>
    <w:basedOn w:val="21"/>
    <w:semiHidden/>
    <w:unhideWhenUsed/>
    <w:uiPriority w:val="99"/>
    <w:rPr>
      <w:sz w:val="16"/>
      <w:szCs w:val="16"/>
    </w:rPr>
  </w:style>
  <w:style w:type="character" w:customStyle="1" w:styleId="24">
    <w:name w:val="页眉 Char"/>
    <w:basedOn w:val="21"/>
    <w:link w:val="15"/>
    <w:qFormat/>
    <w:uiPriority w:val="0"/>
    <w:rPr>
      <w:sz w:val="18"/>
      <w:szCs w:val="18"/>
    </w:rPr>
  </w:style>
  <w:style w:type="character" w:customStyle="1" w:styleId="25">
    <w:name w:val="页脚 Char"/>
    <w:basedOn w:val="21"/>
    <w:link w:val="14"/>
    <w:uiPriority w:val="99"/>
    <w:rPr>
      <w:sz w:val="18"/>
      <w:szCs w:val="18"/>
    </w:rPr>
  </w:style>
  <w:style w:type="character" w:customStyle="1" w:styleId="26">
    <w:name w:val="标题 2 字符"/>
    <w:basedOn w:val="21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7">
    <w:name w:val="标题 3 Char"/>
    <w:basedOn w:val="21"/>
    <w:link w:val="4"/>
    <w:uiPriority w:val="0"/>
    <w:rPr>
      <w:rFonts w:ascii="Times New Roman" w:hAnsi="Times New Roman" w:eastAsia="黑体" w:cs="Times New Roman"/>
      <w:b/>
      <w:bCs/>
      <w:sz w:val="28"/>
      <w:szCs w:val="24"/>
      <w:lang w:val="zh-CN" w:eastAsia="zh-CN"/>
    </w:rPr>
  </w:style>
  <w:style w:type="character" w:customStyle="1" w:styleId="28">
    <w:name w:val="标题 4 Char"/>
    <w:basedOn w:val="21"/>
    <w:link w:val="5"/>
    <w:uiPriority w:val="0"/>
    <w:rPr>
      <w:rFonts w:ascii="Arial" w:hAnsi="Arial" w:eastAsia="黑体" w:cs="Times New Roman"/>
      <w:b/>
      <w:bCs/>
      <w:sz w:val="24"/>
      <w:szCs w:val="28"/>
    </w:rPr>
  </w:style>
  <w:style w:type="character" w:customStyle="1" w:styleId="29">
    <w:name w:val="标题 2 Char"/>
    <w:link w:val="3"/>
    <w:uiPriority w:val="0"/>
    <w:rPr>
      <w:rFonts w:ascii="Arial" w:hAnsi="Arial" w:eastAsia="黑体" w:cs="Times New Roman"/>
      <w:b/>
      <w:bCs/>
      <w:sz w:val="30"/>
      <w:szCs w:val="32"/>
      <w:lang w:val="zh-CN" w:eastAsia="zh-CN"/>
    </w:rPr>
  </w:style>
  <w:style w:type="character" w:customStyle="1" w:styleId="30">
    <w:name w:val="标题 1 Char"/>
    <w:basedOn w:val="21"/>
    <w:link w:val="2"/>
    <w:uiPriority w:val="9"/>
    <w:rPr>
      <w:rFonts w:eastAsia="黑体"/>
      <w:b/>
      <w:bCs/>
      <w:kern w:val="44"/>
      <w:sz w:val="44"/>
      <w:szCs w:val="44"/>
    </w:rPr>
  </w:style>
  <w:style w:type="character" w:customStyle="1" w:styleId="31">
    <w:name w:val="标题 5 Char"/>
    <w:basedOn w:val="21"/>
    <w:link w:val="6"/>
    <w:uiPriority w:val="0"/>
    <w:rPr>
      <w:rFonts w:ascii="Arial" w:hAnsi="Arial" w:eastAsia="黑体" w:cs="Times New Roman"/>
      <w:b/>
      <w:sz w:val="28"/>
      <w:szCs w:val="28"/>
      <w:lang w:val="zh-CN" w:eastAsia="zh-CN"/>
    </w:rPr>
  </w:style>
  <w:style w:type="character" w:customStyle="1" w:styleId="32">
    <w:name w:val="标题 6 Char"/>
    <w:basedOn w:val="21"/>
    <w:link w:val="7"/>
    <w:uiPriority w:val="0"/>
    <w:rPr>
      <w:rFonts w:ascii="Arial" w:hAnsi="Arial" w:eastAsia="黑体" w:cs="Times New Roman"/>
      <w:b/>
      <w:bCs/>
      <w:sz w:val="24"/>
      <w:szCs w:val="24"/>
    </w:rPr>
  </w:style>
  <w:style w:type="character" w:customStyle="1" w:styleId="33">
    <w:name w:val="标题 7 Char"/>
    <w:basedOn w:val="21"/>
    <w:link w:val="8"/>
    <w:uiPriority w:val="0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34">
    <w:name w:val="标题 8 Char"/>
    <w:basedOn w:val="21"/>
    <w:link w:val="9"/>
    <w:uiPriority w:val="0"/>
    <w:rPr>
      <w:rFonts w:ascii="Arial" w:hAnsi="Arial" w:eastAsia="黑体" w:cs="Times New Roman"/>
      <w:sz w:val="24"/>
      <w:szCs w:val="24"/>
    </w:rPr>
  </w:style>
  <w:style w:type="character" w:customStyle="1" w:styleId="35">
    <w:name w:val="标题 9 Char"/>
    <w:basedOn w:val="21"/>
    <w:link w:val="10"/>
    <w:uiPriority w:val="0"/>
    <w:rPr>
      <w:rFonts w:ascii="Arial" w:hAnsi="Arial" w:eastAsia="黑体" w:cs="Times New Roman"/>
      <w:szCs w:val="21"/>
    </w:rPr>
  </w:style>
  <w:style w:type="paragraph" w:customStyle="1" w:styleId="36">
    <w:name w:val="TOC Heading"/>
    <w:basedOn w:val="2"/>
    <w:next w:val="1"/>
    <w:qFormat/>
    <w:uiPriority w:val="39"/>
    <w:pPr>
      <w:widowControl/>
      <w:tabs>
        <w:tab w:val="left" w:pos="432"/>
      </w:tabs>
      <w:spacing w:before="480" w:after="0" w:line="276" w:lineRule="auto"/>
      <w:jc w:val="left"/>
      <w:outlineLvl w:val="9"/>
    </w:pPr>
    <w:rPr>
      <w:rFonts w:ascii="Cambria" w:hAnsi="Cambria" w:eastAsia="宋体" w:cs="Times New Roman"/>
      <w:color w:val="365F91"/>
      <w:kern w:val="0"/>
      <w:sz w:val="28"/>
      <w:szCs w:val="28"/>
      <w:lang w:val="zh-CN" w:eastAsia="zh-CN"/>
    </w:rPr>
  </w:style>
  <w:style w:type="paragraph" w:customStyle="1" w:styleId="37">
    <w:name w:val="列出段落1"/>
    <w:basedOn w:val="1"/>
    <w:qFormat/>
    <w:uiPriority w:val="34"/>
    <w:pPr>
      <w:widowControl/>
      <w:ind w:left="420" w:firstLine="420" w:firstLineChars="200"/>
    </w:pPr>
    <w:rPr>
      <w:rFonts w:ascii="Calibri" w:hAnsi="Calibri" w:cs="Times New Roman"/>
    </w:rPr>
  </w:style>
  <w:style w:type="character" w:customStyle="1" w:styleId="38">
    <w:name w:val="批注框文本 Char"/>
    <w:basedOn w:val="21"/>
    <w:link w:val="13"/>
    <w:semiHidden/>
    <w:uiPriority w:val="99"/>
    <w:rPr>
      <w:sz w:val="18"/>
      <w:szCs w:val="18"/>
    </w:rPr>
  </w:style>
  <w:style w:type="paragraph" w:styleId="39">
    <w:name w:val="List Paragraph"/>
    <w:basedOn w:val="1"/>
    <w:qFormat/>
    <w:uiPriority w:val="34"/>
    <w:pPr>
      <w:ind w:firstLine="420" w:firstLineChars="200"/>
    </w:pPr>
  </w:style>
  <w:style w:type="character" w:customStyle="1" w:styleId="40">
    <w:name w:val="批注文字 Char"/>
    <w:basedOn w:val="21"/>
    <w:link w:val="11"/>
    <w:semiHidden/>
    <w:uiPriority w:val="99"/>
    <w:rPr>
      <w:sz w:val="20"/>
      <w:szCs w:val="20"/>
    </w:rPr>
  </w:style>
  <w:style w:type="character" w:customStyle="1" w:styleId="41">
    <w:name w:val="批注主题 Char"/>
    <w:basedOn w:val="40"/>
    <w:link w:val="18"/>
    <w:semiHidden/>
    <w:uiPriority w:val="99"/>
    <w:rPr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numbering" Target="numbering.xml"/><Relationship Id="rId15" Type="http://schemas.openxmlformats.org/officeDocument/2006/relationships/image" Target="media/image7.jpeg"/><Relationship Id="rId14" Type="http://schemas.openxmlformats.org/officeDocument/2006/relationships/image" Target="media/image6.png"/><Relationship Id="rId13" Type="http://schemas.openxmlformats.org/officeDocument/2006/relationships/image" Target="media/image5.wmf"/><Relationship Id="rId12" Type="http://schemas.openxmlformats.org/officeDocument/2006/relationships/image" Target="media/image4.wmf"/><Relationship Id="rId11" Type="http://schemas.openxmlformats.org/officeDocument/2006/relationships/image" Target="media/image3.wmf"/><Relationship Id="rId10" Type="http://schemas.openxmlformats.org/officeDocument/2006/relationships/image" Target="media/image2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ENLI~1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957A3-98BA-49C0-BA57-E110D02589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11</Pages>
  <Words>2555</Words>
  <Characters>3434</Characters>
  <Lines>25</Lines>
  <Paragraphs>7</Paragraphs>
  <TotalTime>0</TotalTime>
  <ScaleCrop>false</ScaleCrop>
  <LinksUpToDate>false</LinksUpToDate>
  <CharactersWithSpaces>3518</CharactersWithSpaces>
  <Application>WPS Office_11.1.0.11551_F1E327BC-269C-435d-A152-05C5408002CA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2022-03-10T04:02:00Z</dcterms:created>
  <dc:creator>城</dc:creator>
  <cp:lastModifiedBy>城</cp:lastModifiedBy>
  <dcterms:modified xsi:type="dcterms:W3CDTF">2022-03-10T04:03:08Z</dcterms:modified>
  <dc:title>绿色建筑有机挥发物预评价报告书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5CE00BFA157D42A9AFE350CCCED3C1F2</vt:lpwstr>
  </property>
  <property fmtid="{D5CDD505-2E9C-101B-9397-08002B2CF9AE}" pid="3" name="KSOProductBuildVer">
    <vt:lpwstr>2052-11.1.0.11551</vt:lpwstr>
  </property>
</Properties>
</file>