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 w:val="21"/>
                <w:szCs w:val="21"/>
              </w:rPr>
              <w:t>工业博物馆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辽宁-沈阳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2021年12月21日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T13897938950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right" w:leader="dot" w:pos="9026"/>
        </w:tabs>
      </w:pPr>
      <w:bookmarkStart w:id="13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_Toc25768 </w:instrText>
      </w:r>
      <w: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_Toc25768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_Toc8865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_Toc8865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_Toc26228 </w:instrText>
      </w:r>
      <w: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_Toc26228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_Toc1908 </w:instrText>
      </w:r>
      <w: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_Toc1908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_Toc28159 </w:instrText>
      </w:r>
      <w: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_Toc28159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_Toc28908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_Toc28908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  <w:bookmarkStart w:id="85" w:name="_GoBack"/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_Toc19176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屋顶构造一</w:t>
      </w:r>
      <w:r>
        <w:tab/>
      </w:r>
      <w:r>
        <w:fldChar w:fldCharType="begin"/>
      </w:r>
      <w:r>
        <w:instrText xml:space="preserve"> PAGEREF _Toc19176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bookmarkEnd w:id="85"/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_Toc16730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3.2.1 </w:t>
      </w:r>
      <w:r>
        <w:rPr>
          <w:rFonts w:hint="eastAsia"/>
        </w:rPr>
        <w:t>冷凝计算界面至围护结构内表面之间的热阻</w:t>
      </w:r>
      <w:r>
        <w:object>
          <v:shape id="_x0000_i114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14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_Toc16730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_Toc2756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3.2.2 </w:t>
      </w:r>
      <w:r>
        <w:rPr>
          <w:rFonts w:hint="eastAsia"/>
        </w:rPr>
        <w:t>冷凝计算界面温度</w:t>
      </w:r>
      <w:r>
        <w:rPr>
          <w:position w:val="-6"/>
        </w:rPr>
        <w:object>
          <v:shape id="_x0000_i114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14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_Toc2756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_Toc14970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_Toc14970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_Toc4332 </w:instrText>
      </w:r>
      <w: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外墙构造一</w:t>
      </w:r>
      <w:r>
        <w:tab/>
      </w:r>
      <w:r>
        <w:fldChar w:fldCharType="begin"/>
      </w:r>
      <w:r>
        <w:instrText xml:space="preserve"> PAGEREF _Toc4332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_Toc133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5715" b="12065"/>
            <wp:docPr id="1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_Toc11738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11430" b="12700"/>
            <wp:docPr id="2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_Toc11738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_Toc29359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_Toc29359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_Toc14883 </w:instrText>
      </w:r>
      <w: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阳台隔墙构造一</w:t>
      </w:r>
      <w:r>
        <w:tab/>
      </w:r>
      <w:r>
        <w:fldChar w:fldCharType="begin"/>
      </w:r>
      <w:r>
        <w:instrText xml:space="preserve"> PAGEREF _Toc14883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_Toc27807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5715" b="12065"/>
            <wp:docPr id="3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_Toc27807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_Toc6803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11430" b="12700"/>
            <wp:docPr id="4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_Toc6803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_Toc24745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_Toc24745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_Toc32260 </w:instrText>
      </w:r>
      <w: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_Toc32260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  <w:bookmarkEnd w:id="13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4" w:name="_Toc480186122"/>
      <w:bookmarkStart w:id="15" w:name="_Toc480186060"/>
      <w:bookmarkStart w:id="16" w:name="_Toc316568035"/>
      <w:bookmarkStart w:id="17" w:name="_Toc480218444"/>
      <w:bookmarkStart w:id="18" w:name="_Toc25768"/>
      <w:r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工业博物馆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辽宁-沈阳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22" w:name="纬度"/>
            <w:r>
              <w:rPr>
                <w:rFonts w:hint="eastAsia"/>
              </w:rPr>
              <w:t>41.81</w:t>
            </w:r>
            <w:bookmarkEnd w:id="22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23" w:name="经度"/>
            <w:r>
              <w:rPr>
                <w:rFonts w:hint="eastAsia"/>
              </w:rPr>
              <w:t>123.43</w:t>
            </w:r>
            <w:bookmarkEnd w:id="23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气候分区"/>
            <w:r>
              <w:t>严寒C区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面积"/>
            <w:r>
              <w:rPr>
                <w:rFonts w:hint="eastAsia"/>
              </w:rPr>
              <w:t>4319</w:t>
            </w:r>
            <w:bookmarkEnd w:id="25"/>
            <w:r>
              <w:rPr>
                <w:rFonts w:hint="eastAsia"/>
              </w:rPr>
              <w:t>㎡    地下</w:t>
            </w:r>
            <w:bookmarkStart w:id="26" w:name="地下建筑面积"/>
            <w:r>
              <w:rPr>
                <w:rFonts w:hint="eastAsia"/>
              </w:rPr>
              <w:t>0</w:t>
            </w:r>
            <w:bookmarkEnd w:id="26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7" w:name="地上建筑层数"/>
            <w:r>
              <w:rPr>
                <w:rFonts w:hint="eastAsia"/>
              </w:rPr>
              <w:t>3</w:t>
            </w:r>
            <w:bookmarkEnd w:id="27"/>
            <w:r>
              <w:rPr>
                <w:rFonts w:hint="eastAsia"/>
              </w:rPr>
              <w:t xml:space="preserve">          地下</w:t>
            </w:r>
            <w:bookmarkStart w:id="28" w:name="地下建筑层数"/>
            <w:r>
              <w:t>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9" w:name="地上建筑高度"/>
            <w:r>
              <w:rPr>
                <w:rFonts w:hint="eastAsia"/>
              </w:rPr>
              <w:t>12.0</w:t>
            </w:r>
            <w:bookmarkEnd w:id="29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30" w:name="结构类型"/>
            <w:r>
              <w:t>框架结构</w:t>
            </w:r>
            <w:bookmarkEnd w:id="30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_Toc8865"/>
      <w:bookmarkStart w:id="36" w:name="TitleFormat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5"/>
    </w:p>
    <w:bookmarkEnd w:id="36"/>
    <w:p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《辽宁省公共建筑节能设计标准》(DB21/T 1899-2011)</w:t>
      </w:r>
      <w:bookmarkEnd w:id="37"/>
    </w:p>
    <w:p>
      <w:pPr>
        <w:spacing w:line="240" w:lineRule="atLeast"/>
      </w:pPr>
      <w:r>
        <w:rPr>
          <w:rFonts w:hint="eastAsia"/>
        </w:rPr>
        <w:t>2. 《民用建筑热工设计规范》</w:t>
      </w:r>
      <w:r>
        <w:t>GB50176</w:t>
      </w:r>
    </w:p>
    <w:p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《绿色建筑评价标准》GB</w:t>
      </w:r>
      <w:r>
        <w:t>/T</w:t>
      </w:r>
      <w:r>
        <w:rPr>
          <w:rFonts w:hint="eastAsia"/>
        </w:rPr>
        <w:t>50</w:t>
      </w:r>
      <w:r>
        <w:t>378</w:t>
      </w:r>
    </w:p>
    <w:p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《绿色建筑评价技术细则（试行）》</w:t>
      </w:r>
    </w:p>
    <w:p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26228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GB50176和《绿色建筑评价标准》GB</w:t>
      </w:r>
      <w:r>
        <w:t>/T</w:t>
      </w:r>
      <w:r>
        <w:rPr>
          <w:rFonts w:hint="eastAsia"/>
        </w:rPr>
        <w:t>50</w:t>
      </w:r>
      <w:r>
        <w:t>378</w:t>
      </w:r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》GB50176规定</w:t>
      </w:r>
      <w:r>
        <w:t>的</w:t>
      </w:r>
      <w:r>
        <w:rPr>
          <w:rFonts w:hint="eastAsia"/>
        </w:rPr>
        <w:t>采暖期间保温材料重量湿度的允许增量。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42" w:name="_Toc480218447"/>
      <w:bookmarkStart w:id="43" w:name="_Toc480186125"/>
      <w:bookmarkStart w:id="44" w:name="_Toc479931706"/>
      <w:bookmarkStart w:id="45" w:name="_Toc480186063"/>
      <w:bookmarkStart w:id="46" w:name="_Toc1908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>
      <w:pPr>
        <w:pStyle w:val="41"/>
      </w:pPr>
      <w:r>
        <w:rPr>
          <w:rFonts w:hint="eastAsia"/>
        </w:rPr>
        <w:t>根据《民用建筑热工设计规范》GB50176-2016第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5.75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25pt;width:162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28159"/>
      <w:r>
        <w:rPr>
          <w:rFonts w:hint="eastAsia"/>
        </w:rPr>
        <w:t>防潮验算</w:t>
      </w:r>
      <w:r>
        <w:t>计算过程</w:t>
      </w:r>
      <w:bookmarkEnd w:id="47"/>
      <w:bookmarkEnd w:id="48"/>
      <w:bookmarkEnd w:id="49"/>
      <w:bookmarkEnd w:id="50"/>
    </w:p>
    <w:p>
      <w:pPr>
        <w:pStyle w:val="4"/>
        <w:spacing w:line="240" w:lineRule="atLeast"/>
        <w:rPr>
          <w:kern w:val="2"/>
        </w:rPr>
      </w:pPr>
      <w:bookmarkStart w:id="51" w:name="_Toc28908"/>
      <w:r>
        <w:rPr>
          <w:rFonts w:hint="eastAsia"/>
          <w:kern w:val="2"/>
        </w:rPr>
        <w:t>计算条件</w:t>
      </w:r>
      <w:bookmarkEnd w:id="51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4" o:spt="75" type="#_x0000_t75" style="height:17.25pt;width:9.7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4" w:name="t_e_avg"/>
            <w:r>
              <w:rPr>
                <w:rFonts w:hint="eastAsia"/>
              </w:rPr>
              <w:t>-4.50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5" w:name="室外相对湿度"/>
            <w:r>
              <w:rPr>
                <w:rFonts w:hint="eastAsia"/>
              </w:rPr>
              <w:t>55.00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6" w:name="Z"/>
            <w:r>
              <w:rPr>
                <w:rFonts w:hint="eastAsia"/>
              </w:rPr>
              <w:t>150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7" w:name="气象数据参考"/>
      <w:bookmarkEnd w:id="57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8" w:name="_Toc19176"/>
      <w:bookmarkStart w:id="59" w:name="构造ID"/>
      <w:bookmarkStart w:id="60" w:name="DataTab"/>
      <w:r>
        <w:rPr>
          <w:rFonts w:hint="eastAsia"/>
          <w:kern w:val="2"/>
        </w:rPr>
        <w:t>屋顶构造一</w:t>
      </w:r>
      <w:bookmarkEnd w:id="58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1.00</w:t>
            </w:r>
          </w:p>
        </w:tc>
        <w:tc>
          <w:tcPr>
            <w:tcW w:w="1559" w:type="dxa"/>
            <w:vAlign w:val="center"/>
          </w:tcPr>
          <w:p>
            <w:r>
              <w:t>0.0100</w:t>
            </w:r>
          </w:p>
        </w:tc>
        <w:tc>
          <w:tcPr>
            <w:tcW w:w="993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0.0140</w:t>
            </w:r>
          </w:p>
        </w:tc>
        <w:tc>
          <w:tcPr>
            <w:tcW w:w="993" w:type="dxa"/>
            <w:vAlign w:val="center"/>
          </w:tcPr>
          <w:p>
            <w:r>
              <w:t>0.005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胶粉聚苯颗粒保温层</w:t>
            </w:r>
          </w:p>
        </w:tc>
        <w:tc>
          <w:tcPr>
            <w:tcW w:w="848" w:type="dxa"/>
            <w:vAlign w:val="center"/>
          </w:tcPr>
          <w:p>
            <w:r>
              <w:t>315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671" w:type="dxa"/>
            <w:vAlign w:val="center"/>
          </w:tcPr>
          <w:p>
            <w:r>
              <w:t>1.50</w:t>
            </w:r>
          </w:p>
        </w:tc>
        <w:tc>
          <w:tcPr>
            <w:tcW w:w="992" w:type="dxa"/>
            <w:vAlign w:val="center"/>
          </w:tcPr>
          <w:p>
            <w:r>
              <w:t>230.00</w:t>
            </w:r>
          </w:p>
        </w:tc>
        <w:tc>
          <w:tcPr>
            <w:tcW w:w="1559" w:type="dxa"/>
            <w:vAlign w:val="center"/>
          </w:tcPr>
          <w:p>
            <w:r>
              <w:t>0.0023</w:t>
            </w:r>
          </w:p>
        </w:tc>
        <w:tc>
          <w:tcPr>
            <w:tcW w:w="993" w:type="dxa"/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0.160</w:t>
            </w:r>
          </w:p>
        </w:tc>
        <w:tc>
          <w:tcPr>
            <w:tcW w:w="671" w:type="dxa"/>
            <w:vAlign w:val="center"/>
          </w:tcPr>
          <w:p>
            <w:r>
              <w:t>1.50</w:t>
            </w:r>
          </w:p>
        </w:tc>
        <w:tc>
          <w:tcPr>
            <w:tcW w:w="992" w:type="dxa"/>
            <w:vAlign w:val="center"/>
          </w:tcPr>
          <w:p>
            <w:r>
              <w:t>400.00</w:t>
            </w:r>
          </w:p>
        </w:tc>
        <w:tc>
          <w:tcPr>
            <w:tcW w:w="1559" w:type="dxa"/>
            <w:vAlign w:val="center"/>
          </w:tcPr>
          <w:p>
            <w:r>
              <w:t>0.0140</w:t>
            </w:r>
          </w:p>
        </w:tc>
        <w:tc>
          <w:tcPr>
            <w:tcW w:w="993" w:type="dxa"/>
            <w:vAlign w:val="center"/>
          </w:tcPr>
          <w:p>
            <w:r>
              <w:t>0.333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钢筋混凝土屋面板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0.0040</w:t>
            </w:r>
          </w:p>
        </w:tc>
        <w:tc>
          <w:tcPr>
            <w:tcW w:w="993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0.0230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62" w:name="_Toc16730"/>
      <w:r>
        <w:rPr>
          <w:rFonts w:hint="eastAsia"/>
        </w:rPr>
        <w:t>冷凝计算界面至围护结构内表面之间的热阻</w:t>
      </w:r>
      <w:r>
        <w:object>
          <v:shape id="_x0000_i105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3">
            <o:LockedField>false</o:LockedField>
          </o:OLEObject>
        </w:object>
      </w:r>
      <w:bookmarkEnd w:id="62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6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3.91</w:t>
      </w:r>
    </w:p>
    <w:p>
      <w:pPr>
        <w:pStyle w:val="5"/>
        <w:ind w:right="1470"/>
      </w:pPr>
      <w:bookmarkStart w:id="64" w:name="_Toc2756"/>
      <w:r>
        <w:rPr>
          <w:rFonts w:hint="eastAsia"/>
        </w:rPr>
        <w:t>冷凝计算界面温度</w:t>
      </w:r>
      <w:r>
        <w:rPr>
          <w:position w:val="-6"/>
        </w:rPr>
        <w:object>
          <v:shape id="_x0000_i1057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5">
            <o:LockedField>false</o:LockedField>
          </o:OLEObject>
        </w:object>
      </w:r>
      <w:bookmarkEnd w:id="64"/>
    </w:p>
    <w:p>
      <w:pPr>
        <w:jc w:val="center"/>
      </w:pPr>
      <w:r>
        <w:object>
          <v:shape id="_x0000_i1058" o:spt="75" type="#_x0000_t75" style="height:33pt;width:111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8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9" DrawAspect="Content" ObjectID="_1468075751" r:id="rId58">
            <o:LockedField>false</o:LockedField>
          </o:OLEObject>
        </w:object>
      </w:r>
      <w:r>
        <w:t>=</w:t>
      </w:r>
      <w:bookmarkStart w:id="65" w:name="θ_c"/>
      <w:r>
        <w:rPr>
          <w:rFonts w:hint="eastAsia"/>
        </w:rPr>
        <w:t>-4.12</w:t>
      </w:r>
    </w:p>
    <w:p>
      <w:pPr>
        <w:pStyle w:val="5"/>
        <w:ind w:right="1470"/>
      </w:pPr>
      <w:bookmarkStart w:id="66" w:name="_Toc14970"/>
      <w:r>
        <w:rPr>
          <w:rStyle w:val="32"/>
          <w:rFonts w:hint="eastAsia"/>
          <w:b/>
          <w:bCs w:val="0"/>
        </w:rPr>
        <w:t>围护结构冷凝受潮验算</w:t>
      </w:r>
      <w:bookmarkEnd w:id="66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0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1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H_o_i"/>
            <w:r>
              <w:rPr>
                <w:rFonts w:hint="eastAsia"/>
              </w:rPr>
              <w:t>168540.37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66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7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H_o_e"/>
            <w:r>
              <w:rPr>
                <w:rFonts w:hint="eastAsia"/>
              </w:rPr>
              <w:t>757.14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Pi"/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Pe"/>
            <w:r>
              <w:rPr>
                <w:rFonts w:hint="eastAsia"/>
              </w:rPr>
              <w:t>230.45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Psc"/>
            <w:r>
              <w:rPr>
                <w:rFonts w:hint="eastAsia"/>
              </w:rPr>
              <w:t>432.64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79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0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ρ"/>
            <w:r>
              <w:rPr>
                <w:rFonts w:hint="eastAsia"/>
              </w:rPr>
              <w:t>230.00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δi"/>
            <w:r>
              <w:rPr>
                <w:rFonts w:hint="eastAsia"/>
              </w:rPr>
              <w:t>0.32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3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4" o:spt="75" type="#_x0000_t75" style="height:16.5pt;width:24.7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ω_l"/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5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76" w:name="_Toc4332"/>
      <w:r>
        <w:rPr>
          <w:rFonts w:hint="eastAsia"/>
          <w:kern w:val="2"/>
        </w:rPr>
        <w:t>外墙构造一</w:t>
      </w:r>
      <w:bookmarkEnd w:id="76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0.0080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承重空心砖墙L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0.580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0.0100</w:t>
            </w:r>
          </w:p>
        </w:tc>
        <w:tc>
          <w:tcPr>
            <w:tcW w:w="993" w:type="dxa"/>
            <w:vAlign w:val="center"/>
          </w:tcPr>
          <w:p>
            <w:r>
              <w:t>0.414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空气间层L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6.121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1.00</w:t>
            </w:r>
          </w:p>
        </w:tc>
        <w:tc>
          <w:tcPr>
            <w:tcW w:w="1559" w:type="dxa"/>
            <w:vAlign w:val="center"/>
          </w:tcPr>
          <w:p>
            <w:r>
              <w:t>0.0023</w:t>
            </w:r>
          </w:p>
        </w:tc>
        <w:tc>
          <w:tcPr>
            <w:tcW w:w="993" w:type="dxa"/>
            <w:vAlign w:val="center"/>
          </w:tcPr>
          <w:p>
            <w:r>
              <w:t>0.003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岩棉，玻璃棉板L2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0.054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150.00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3.333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石膏板L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50.00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0.370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77" w:name="_Toc133"/>
      <w:r>
        <w:rPr>
          <w:rFonts w:hint="eastAsia"/>
        </w:rPr>
        <w:t>冷凝计算界面至围护结构内表面之间的热阻</w:t>
      </w:r>
      <w:r>
        <w:pict>
          <v:shape id="_x0000_i1085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77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6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4.12</w:t>
      </w:r>
    </w:p>
    <w:p>
      <w:pPr>
        <w:pStyle w:val="5"/>
        <w:ind w:right="1470"/>
      </w:pPr>
      <w:bookmarkStart w:id="78" w:name="_Toc11738"/>
      <w:r>
        <w:rPr>
          <w:rFonts w:hint="eastAsia"/>
        </w:rPr>
        <w:t>冷凝计算界面温度</w:t>
      </w:r>
      <w:r>
        <w:rPr>
          <w:position w:val="-6"/>
        </w:rPr>
        <w:pict>
          <v:shape id="_x0000_i108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78"/>
    </w:p>
    <w:p>
      <w:pPr>
        <w:jc w:val="center"/>
      </w:pPr>
      <w:r>
        <w:pict>
          <v:shape id="_x0000_i1088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-4.18</w:t>
      </w:r>
    </w:p>
    <w:p>
      <w:pPr>
        <w:pStyle w:val="5"/>
        <w:ind w:right="1470"/>
      </w:pPr>
      <w:bookmarkStart w:id="79" w:name="_Toc29359"/>
      <w:r>
        <w:rPr>
          <w:rStyle w:val="32"/>
          <w:rFonts w:hint="eastAsia"/>
          <w:b/>
          <w:bCs w:val="0"/>
        </w:rPr>
        <w:t>围护结构冷凝受潮验算</w:t>
      </w:r>
      <w:bookmarkEnd w:id="79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0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1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32695.65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096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7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2500.00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230.45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6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7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430.61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0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1800.00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0.24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4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=15.00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0" w:name="_Toc14883"/>
      <w:r>
        <w:rPr>
          <w:rFonts w:hint="eastAsia"/>
          <w:kern w:val="2"/>
        </w:rPr>
        <w:t>阳台隔墙构造一</w:t>
      </w:r>
      <w:bookmarkEnd w:id="59"/>
      <w:bookmarkEnd w:id="80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  <w:bookmarkEnd w:id="61"/>
    </w:tbl>
    <w:p>
      <w:pPr>
        <w:pStyle w:val="3"/>
        <w:ind w:left="1470" w:right="1470"/>
      </w:pPr>
    </w:p>
    <w:p>
      <w:pPr>
        <w:pStyle w:val="5"/>
      </w:pPr>
      <w:bookmarkStart w:id="81" w:name="_Toc27807"/>
      <w:r>
        <w:rPr>
          <w:rFonts w:hint="eastAsia"/>
        </w:rPr>
        <w:t>冷凝计算界面至围护结构内表面之间的热阻</w:t>
      </w:r>
      <w:r>
        <w:pict>
          <v:shape id="_x0000_i1115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81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6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3"/>
    </w:p>
    <w:p>
      <w:pPr>
        <w:pStyle w:val="5"/>
        <w:ind w:right="1470"/>
      </w:pPr>
      <w:bookmarkStart w:id="82" w:name="_Toc6803"/>
      <w:r>
        <w:rPr>
          <w:rFonts w:hint="eastAsia"/>
        </w:rPr>
        <w:t>冷凝计算界面温度</w:t>
      </w:r>
      <w:r>
        <w:rPr>
          <w:position w:val="-6"/>
        </w:rPr>
        <w:pict>
          <v:shape id="_x0000_i111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2"/>
    </w:p>
    <w:p>
      <w:pPr>
        <w:jc w:val="center"/>
      </w:pPr>
      <w:r>
        <w:pict>
          <v:shape id="_x0000_i1118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-2.94</w:t>
      </w:r>
      <w:bookmarkEnd w:id="65"/>
    </w:p>
    <w:p>
      <w:pPr>
        <w:pStyle w:val="5"/>
        <w:ind w:right="1470"/>
      </w:pPr>
      <w:bookmarkStart w:id="83" w:name="_Toc24745"/>
      <w:r>
        <w:rPr>
          <w:rStyle w:val="32"/>
          <w:rFonts w:hint="eastAsia"/>
          <w:b/>
          <w:bCs w:val="0"/>
        </w:rPr>
        <w:t>围护结构冷凝受潮验算</w:t>
      </w:r>
      <w:bookmarkEnd w:id="83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0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1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5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14062.08</w:t>
            </w:r>
            <w:bookmarkEnd w:id="67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26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7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  <w:bookmarkEnd w:id="68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69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230.45</w:t>
            </w:r>
            <w:bookmarkEnd w:id="70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6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7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477.44</w:t>
            </w:r>
            <w:bookmarkEnd w:id="71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3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35.00</w:t>
            </w:r>
            <w:bookmarkEnd w:id="72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4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</w:t>
            </w:r>
            <w:bookmarkEnd w:id="73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4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4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4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5"/>
          </w:p>
        </w:tc>
      </w:tr>
    </w:tbl>
    <w:p>
      <w:pPr>
        <w:widowControl/>
        <w:jc w:val="left"/>
      </w:pPr>
    </w:p>
    <w:bookmarkEnd w:id="60"/>
    <w:p>
      <w:pPr>
        <w:pStyle w:val="2"/>
        <w:widowControl/>
        <w:jc w:val="left"/>
      </w:pPr>
      <w:bookmarkStart w:id="84" w:name="_Toc32260"/>
      <w:r>
        <w:t>验算结论</w:t>
      </w:r>
      <w:bookmarkEnd w:id="84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112"/>
        <w:gridCol w:w="1811"/>
        <w:gridCol w:w="1811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增量限值(%)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实际增量(%)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4F59B7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114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9" Type="http://schemas.openxmlformats.org/officeDocument/2006/relationships/fontTable" Target="fontTable.xml"/><Relationship Id="rId78" Type="http://schemas.openxmlformats.org/officeDocument/2006/relationships/customXml" Target="../customXml/item2.xml"/><Relationship Id="rId77" Type="http://schemas.openxmlformats.org/officeDocument/2006/relationships/numbering" Target="numbering.xml"/><Relationship Id="rId76" Type="http://schemas.openxmlformats.org/officeDocument/2006/relationships/customXml" Target="../customXml/item1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L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2324</Words>
  <Characters>3357</Characters>
  <Lines>27</Lines>
  <Paragraphs>7</Paragraphs>
  <TotalTime>0</TotalTime>
  <ScaleCrop>false</ScaleCrop>
  <LinksUpToDate>false</LinksUpToDate>
  <CharactersWithSpaces>3487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2021-12-21T03:18:00Z</dcterms:created>
  <dc:creator>城</dc:creator>
  <cp:lastModifiedBy>城</cp:lastModifiedBy>
  <dcterms:modified xsi:type="dcterms:W3CDTF">2021-12-21T03:19:37Z</dcterms:modified>
  <dc:title>防潮验算计算书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34DC221AD10341038A163A73FB11A852</vt:lpwstr>
  </property>
  <property fmtid="{D5CDD505-2E9C-101B-9397-08002B2CF9AE}" pid="4" name="KSOProductBuildVer">
    <vt:lpwstr>2052-11.1.0.11194</vt:lpwstr>
  </property>
</Properties>
</file>