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30" w:rsidRPr="00B57524" w:rsidRDefault="00B57524" w:rsidP="00B57524">
      <w:pPr>
        <w:ind w:leftChars="200" w:left="420" w:firstLineChars="200" w:firstLine="643"/>
        <w:jc w:val="center"/>
        <w:rPr>
          <w:rFonts w:hint="eastAsia"/>
          <w:b/>
        </w:rPr>
      </w:pPr>
      <w:r w:rsidRPr="00B57524">
        <w:rPr>
          <w:rFonts w:hint="eastAsia"/>
          <w:b/>
          <w:sz w:val="32"/>
        </w:rPr>
        <w:t>设计图纸及说明</w:t>
      </w:r>
    </w:p>
    <w:tbl>
      <w:tblPr>
        <w:tblW w:w="4885" w:type="pct"/>
        <w:jc w:val="center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9"/>
        <w:gridCol w:w="2857"/>
        <w:gridCol w:w="2870"/>
      </w:tblGrid>
      <w:tr w:rsidR="00B57524" w:rsidTr="00B57524">
        <w:trPr>
          <w:jc w:val="center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57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黄村火车站社区</w:t>
            </w:r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0" w:name="工程地点"/>
            <w:r>
              <w:rPr>
                <w:rFonts w:hint="eastAsia"/>
              </w:rPr>
              <w:t>北京</w:t>
            </w:r>
            <w:r>
              <w:t>-</w:t>
            </w:r>
            <w:r>
              <w:rPr>
                <w:rFonts w:hint="eastAsia"/>
              </w:rPr>
              <w:t>北京</w:t>
            </w:r>
            <w:bookmarkEnd w:id="0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" w:name="纬度"/>
            <w:r>
              <w:rPr>
                <w:rFonts w:ascii="宋体" w:hAnsi="宋体" w:hint="eastAsia"/>
                <w:lang w:val="en-US"/>
              </w:rPr>
              <w:t>39.80</w:t>
            </w:r>
            <w:bookmarkEnd w:id="1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2" w:name="经度"/>
            <w:r>
              <w:rPr>
                <w:rFonts w:ascii="宋体" w:hAnsi="宋体" w:hint="eastAsia"/>
                <w:lang w:val="en-US"/>
              </w:rPr>
              <w:t>116.47</w:t>
            </w:r>
            <w:bookmarkEnd w:id="2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3" w:name="建筑寿命"/>
            <w:r>
              <w:t>50</w:t>
            </w:r>
            <w:bookmarkEnd w:id="3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4" w:name="地上建筑面积"/>
            <w:r>
              <w:rPr>
                <w:rFonts w:ascii="宋体" w:hAnsi="宋体" w:hint="eastAsia"/>
                <w:lang w:val="en-US"/>
              </w:rPr>
              <w:t>6248</w:t>
            </w:r>
            <w:bookmarkEnd w:id="4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5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5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6" w:name="地上建筑层数"/>
            <w:r>
              <w:rPr>
                <w:rFonts w:ascii="宋体" w:hAnsi="宋体" w:hint="eastAsia"/>
                <w:lang w:val="en-US"/>
              </w:rPr>
              <w:t>3</w:t>
            </w:r>
            <w:bookmarkEnd w:id="6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7" w:name="地下建筑层数"/>
            <w:r>
              <w:t>0</w:t>
            </w:r>
            <w:bookmarkEnd w:id="7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8" w:name="地上建筑高度"/>
            <w:r>
              <w:rPr>
                <w:rFonts w:ascii="宋体" w:hAnsi="宋体" w:hint="eastAsia"/>
                <w:lang w:val="en-US"/>
              </w:rPr>
              <w:t>12.0</w:t>
            </w:r>
            <w:bookmarkEnd w:id="8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9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9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10" w:name="建筑体积"/>
            <w:r>
              <w:t>18745.20</w:t>
            </w:r>
            <w:bookmarkEnd w:id="10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外表面积"/>
            <w:r>
              <w:t>4109.42</w:t>
            </w:r>
            <w:bookmarkEnd w:id="11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北向角度"/>
            <w:r>
              <w:t>315</w:t>
            </w:r>
            <w:bookmarkEnd w:id="12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外墙ρ"/>
            <w:r>
              <w:t>0.75</w:t>
            </w:r>
            <w:bookmarkEnd w:id="13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屋顶ρ"/>
            <w:r>
              <w:t>0.75</w:t>
            </w:r>
            <w:bookmarkEnd w:id="14"/>
          </w:p>
        </w:tc>
      </w:tr>
      <w:tr w:rsidR="00B57524" w:rsidTr="00B57524">
        <w:trPr>
          <w:jc w:val="center"/>
        </w:trPr>
        <w:tc>
          <w:tcPr>
            <w:tcW w:w="25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B57524" w:rsidRDefault="00B57524">
            <w:pPr>
              <w:pStyle w:val="a5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7524" w:rsidRDefault="00B57524">
            <w:pPr>
              <w:pStyle w:val="a5"/>
              <w:ind w:firstLineChars="0" w:firstLine="0"/>
            </w:pPr>
            <w:bookmarkStart w:id="15" w:name="控温期"/>
            <w:r>
              <w:rPr>
                <w:rFonts w:hint="eastAsia"/>
              </w:rPr>
              <w:t>全年控温</w:t>
            </w:r>
            <w:bookmarkEnd w:id="15"/>
          </w:p>
        </w:tc>
      </w:tr>
    </w:tbl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sz w:val="24"/>
        </w:rPr>
      </w:pPr>
      <w:r w:rsidRPr="00B57524">
        <w:rPr>
          <w:rFonts w:hint="eastAsia"/>
          <w:sz w:val="24"/>
        </w:rPr>
        <w:t>黄村火车站，建筑面积</w:t>
      </w:r>
      <w:r w:rsidRPr="00B57524">
        <w:rPr>
          <w:rFonts w:hint="eastAsia"/>
          <w:sz w:val="24"/>
        </w:rPr>
        <w:t>1</w:t>
      </w:r>
      <w:r w:rsidRPr="00B57524">
        <w:rPr>
          <w:sz w:val="24"/>
        </w:rPr>
        <w:t>7000</w:t>
      </w:r>
      <w:r w:rsidRPr="00B57524">
        <w:rPr>
          <w:rFonts w:hint="eastAsia"/>
          <w:sz w:val="24"/>
        </w:rPr>
        <w:t>多平方米，位于北京市</w:t>
      </w:r>
      <w:proofErr w:type="gramStart"/>
      <w:r w:rsidRPr="00B57524">
        <w:rPr>
          <w:rFonts w:hint="eastAsia"/>
          <w:sz w:val="24"/>
        </w:rPr>
        <w:t>大兴区</w:t>
      </w:r>
      <w:proofErr w:type="gramEnd"/>
      <w:r w:rsidRPr="00B57524">
        <w:rPr>
          <w:rFonts w:hint="eastAsia"/>
          <w:sz w:val="24"/>
        </w:rPr>
        <w:t>黄村镇兴华南路。建站历史悠久，始建于光绪十九年，见证了中国铁路发展的历史。但由于建筑老旧，室内暖</w:t>
      </w:r>
      <w:proofErr w:type="gramStart"/>
      <w:r w:rsidRPr="00B57524">
        <w:rPr>
          <w:rFonts w:hint="eastAsia"/>
          <w:sz w:val="24"/>
        </w:rPr>
        <w:t>通设施</w:t>
      </w:r>
      <w:proofErr w:type="gramEnd"/>
      <w:r w:rsidRPr="00B57524">
        <w:rPr>
          <w:rFonts w:hint="eastAsia"/>
          <w:sz w:val="24"/>
        </w:rPr>
        <w:t>落后，规划功能区域杂乱，缺乏绿化，无有效隔音手段给周边环境及旅客带来极大影响。我们团队希望秉承绿色节能的设计理念，改善办公人员及旅客的人居环境为宗旨，改造原有老旧建筑，为这座饱经沧桑的车站带来新的生机和机遇。</w:t>
      </w:r>
    </w:p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sz w:val="24"/>
        </w:rPr>
      </w:pPr>
      <w:r w:rsidRPr="00B57524">
        <w:rPr>
          <w:rFonts w:hint="eastAsia"/>
          <w:sz w:val="24"/>
        </w:rPr>
        <w:t>计划</w:t>
      </w:r>
      <w:proofErr w:type="gramStart"/>
      <w:r w:rsidRPr="00B57524">
        <w:rPr>
          <w:rFonts w:hint="eastAsia"/>
          <w:sz w:val="24"/>
        </w:rPr>
        <w:t>通过绿建斯维尔</w:t>
      </w:r>
      <w:proofErr w:type="gramEnd"/>
      <w:r w:rsidRPr="00B57524">
        <w:rPr>
          <w:rFonts w:hint="eastAsia"/>
          <w:sz w:val="24"/>
        </w:rPr>
        <w:t>软件设计。全面更换老旧设备及材料，划分新功能区，增大绿化面积改造原有能耗浪费大的区域等，为车站带来升级。</w:t>
      </w:r>
    </w:p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sz w:val="24"/>
        </w:rPr>
      </w:pPr>
      <w:r w:rsidRPr="00B57524">
        <w:rPr>
          <w:rFonts w:hint="eastAsia"/>
          <w:sz w:val="24"/>
        </w:rPr>
        <w:t>携科技新风，我们选用植草透水砖，太阳能光伏板，双夹层隔声</w:t>
      </w:r>
      <w:r w:rsidRPr="00B57524">
        <w:rPr>
          <w:rFonts w:hint="eastAsia"/>
          <w:sz w:val="24"/>
        </w:rPr>
        <w:t>Low-e</w:t>
      </w:r>
      <w:r w:rsidRPr="00B57524">
        <w:rPr>
          <w:rFonts w:hint="eastAsia"/>
          <w:sz w:val="24"/>
        </w:rPr>
        <w:t>高透玻璃等现代新兴节能材料改善旧车站混乱的环境，高昂的能耗费用，糟糕的噪声污染。营造一个宜人的室内居住办公环境。</w:t>
      </w:r>
    </w:p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sz w:val="24"/>
        </w:rPr>
      </w:pPr>
      <w:r w:rsidRPr="00B57524">
        <w:rPr>
          <w:rFonts w:hint="eastAsia"/>
          <w:sz w:val="24"/>
        </w:rPr>
        <w:t>创绿色智慧，</w:t>
      </w:r>
      <w:proofErr w:type="gramStart"/>
      <w:r w:rsidRPr="00B57524">
        <w:rPr>
          <w:rFonts w:hint="eastAsia"/>
          <w:sz w:val="24"/>
        </w:rPr>
        <w:t>运用绿建斯维尔</w:t>
      </w:r>
      <w:proofErr w:type="gramEnd"/>
      <w:r w:rsidRPr="00B57524">
        <w:rPr>
          <w:rFonts w:hint="eastAsia"/>
          <w:sz w:val="24"/>
        </w:rPr>
        <w:t>软件分析，选取合适的装修材料和房间</w:t>
      </w:r>
      <w:r w:rsidRPr="00B57524">
        <w:rPr>
          <w:rFonts w:hint="eastAsia"/>
          <w:sz w:val="24"/>
        </w:rPr>
        <w:t>,</w:t>
      </w:r>
      <w:r w:rsidRPr="00B57524">
        <w:rPr>
          <w:rFonts w:hint="eastAsia"/>
          <w:sz w:val="24"/>
        </w:rPr>
        <w:t>窗墙布局。找到节能方案的最优解。采用太阳能发电板提供建筑能源，积极引入室外采光代替原有的人工照明，选用适当的保温材料减少空调运行负荷。实现经济效益与环境效益双赢。</w:t>
      </w:r>
    </w:p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sz w:val="24"/>
        </w:rPr>
      </w:pPr>
      <w:proofErr w:type="gramStart"/>
      <w:r w:rsidRPr="00B57524">
        <w:rPr>
          <w:rFonts w:hint="eastAsia"/>
          <w:sz w:val="24"/>
        </w:rPr>
        <w:t>享城市</w:t>
      </w:r>
      <w:proofErr w:type="gramEnd"/>
      <w:r w:rsidRPr="00B57524">
        <w:rPr>
          <w:rFonts w:hint="eastAsia"/>
          <w:sz w:val="24"/>
        </w:rPr>
        <w:t>森林，积极利用车站闲置空间绿化，绿化覆盖率达到</w:t>
      </w:r>
      <w:r w:rsidRPr="00B57524">
        <w:rPr>
          <w:rFonts w:hint="eastAsia"/>
          <w:sz w:val="24"/>
        </w:rPr>
        <w:t>9</w:t>
      </w:r>
      <w:r w:rsidRPr="00B57524">
        <w:rPr>
          <w:sz w:val="24"/>
        </w:rPr>
        <w:t>0%</w:t>
      </w:r>
      <w:r w:rsidRPr="00B57524">
        <w:rPr>
          <w:rFonts w:hint="eastAsia"/>
          <w:sz w:val="24"/>
        </w:rPr>
        <w:t>，良好的绿化不仅清洁了车站周围的尘埃，制造新鲜氧气，降低了火车噪音对周边</w:t>
      </w:r>
      <w:r w:rsidRPr="00B57524">
        <w:rPr>
          <w:rFonts w:hint="eastAsia"/>
          <w:sz w:val="24"/>
        </w:rPr>
        <w:lastRenderedPageBreak/>
        <w:t>环境的影响。还为旅客和周边居民提供了一个亲近自然，放松身心的休闲场所。</w:t>
      </w:r>
    </w:p>
    <w:p w:rsidR="00B57524" w:rsidRPr="00B57524" w:rsidRDefault="00B57524" w:rsidP="00B57524">
      <w:pPr>
        <w:spacing w:line="360" w:lineRule="auto"/>
        <w:ind w:leftChars="200" w:left="420" w:firstLineChars="200" w:firstLine="480"/>
        <w:jc w:val="left"/>
        <w:rPr>
          <w:rFonts w:hint="eastAsia"/>
          <w:sz w:val="24"/>
        </w:rPr>
      </w:pPr>
      <w:proofErr w:type="gramStart"/>
      <w:r w:rsidRPr="00B57524">
        <w:rPr>
          <w:rFonts w:hint="eastAsia"/>
          <w:sz w:val="24"/>
        </w:rPr>
        <w:t>聚全面</w:t>
      </w:r>
      <w:proofErr w:type="gramEnd"/>
      <w:r w:rsidRPr="00B57524">
        <w:rPr>
          <w:rFonts w:hint="eastAsia"/>
          <w:sz w:val="24"/>
        </w:rPr>
        <w:t>需求，在对旧火车站深入调研之后，在有序改变旧火车站进出站混乱布局基础之上。依据旅客需求规划安静空间作为休息区以及供娱乐休闲的购物大楼。既为旅客带来了更好的乘车体验，也改善了周边居民民生条件，拉动了地区经济增长。</w:t>
      </w:r>
    </w:p>
    <w:p w:rsidR="00B57524" w:rsidRDefault="00B57524" w:rsidP="00090130">
      <w:pPr>
        <w:ind w:leftChars="200" w:left="420" w:firstLineChars="200" w:firstLine="420"/>
        <w:rPr>
          <w:rFonts w:hint="eastAsia"/>
        </w:rPr>
      </w:pPr>
    </w:p>
    <w:p w:rsidR="00B57524" w:rsidRDefault="00B57524" w:rsidP="00090130">
      <w:pPr>
        <w:ind w:leftChars="200" w:left="420" w:firstLineChars="200" w:firstLine="420"/>
        <w:rPr>
          <w:rFonts w:hint="eastAsia"/>
        </w:rPr>
      </w:pPr>
    </w:p>
    <w:p w:rsidR="00B57524" w:rsidRDefault="00B57524" w:rsidP="00090130">
      <w:pPr>
        <w:ind w:leftChars="200" w:left="420" w:firstLineChars="200" w:firstLine="420"/>
      </w:pPr>
    </w:p>
    <w:tbl>
      <w:tblPr>
        <w:tblW w:w="9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668"/>
      </w:tblGrid>
      <w:tr w:rsidR="00B57524" w:rsidTr="00B57524"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jc w:val="center"/>
              <w:rPr>
                <w:lang w:val="en-GB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46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jc w:val="center"/>
              <w:rPr>
                <w:lang w:val="en-GB"/>
              </w:rPr>
            </w:pPr>
            <w:r>
              <w:rPr>
                <w:rFonts w:hint="eastAsia"/>
              </w:rPr>
              <w:t>值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地块面积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231493.13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0.02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室外面积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225882.85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广场面积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4432.12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道路面积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37018.81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绿地面积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14281.88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水面面积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0.00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绿化屋面面积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5553.58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乔木爬藤面积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166086.75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亭廊面积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0.00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渗透型硬地面积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12194.31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地表平均太阳辐射吸收系数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0.77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地面粗糙系数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0.22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平均迎风面积比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0.83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CTTC</w:t>
            </w:r>
            <w:r>
              <w:rPr>
                <w:rFonts w:hint="eastAsia"/>
              </w:rPr>
              <w:t>居住区热时间常数</w:t>
            </w:r>
            <w:r>
              <w:t>(h)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10.86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绿化遮阳覆盖率</w:t>
            </w:r>
            <w:r>
              <w:t>(%)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74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构筑物遮阳覆盖率</w:t>
            </w:r>
            <w:r>
              <w:t>(%)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平均天空角系数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0.99</w:t>
            </w:r>
          </w:p>
        </w:tc>
      </w:tr>
      <w:tr w:rsidR="00B57524" w:rsidTr="00B57524">
        <w:tc>
          <w:tcPr>
            <w:tcW w:w="46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rPr>
                <w:rFonts w:hint="eastAsia"/>
              </w:rPr>
              <w:t>通风架空率</w:t>
            </w:r>
            <w:r>
              <w:t>(%)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7524" w:rsidRDefault="00B57524">
            <w:pPr>
              <w:rPr>
                <w:lang w:val="en-GB"/>
              </w:rPr>
            </w:pPr>
            <w:r>
              <w:t>11</w:t>
            </w:r>
          </w:p>
        </w:tc>
      </w:tr>
    </w:tbl>
    <w:p w:rsidR="00B57524" w:rsidRDefault="00B57524"/>
    <w:p w:rsidR="00B57524" w:rsidRDefault="00B57524">
      <w:pPr>
        <w:widowControl/>
        <w:jc w:val="left"/>
      </w:pPr>
      <w:r>
        <w:br w:type="page"/>
      </w:r>
    </w:p>
    <w:p w:rsidR="00010F6F" w:rsidRDefault="00B57524">
      <w:pPr>
        <w:rPr>
          <w:rFonts w:hint="eastAsia"/>
        </w:rPr>
      </w:pPr>
      <w:r w:rsidRPr="00B57524">
        <w:lastRenderedPageBreak/>
        <w:drawing>
          <wp:inline distT="0" distB="0" distL="0" distR="0" wp14:anchorId="3346E425" wp14:editId="756BCCAE">
            <wp:extent cx="5274310" cy="609353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24" w:rsidRPr="00090130" w:rsidRDefault="00B57524">
      <w:r w:rsidRPr="00B57524">
        <w:lastRenderedPageBreak/>
        <w:drawing>
          <wp:inline distT="0" distB="0" distL="0" distR="0" wp14:anchorId="368039F2" wp14:editId="42EB896C">
            <wp:extent cx="5274310" cy="440258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 w:rsidR="00B57524" w:rsidRPr="0009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D1" w:rsidRDefault="000267D1" w:rsidP="00090130">
      <w:r>
        <w:separator/>
      </w:r>
    </w:p>
  </w:endnote>
  <w:endnote w:type="continuationSeparator" w:id="0">
    <w:p w:rsidR="000267D1" w:rsidRDefault="000267D1" w:rsidP="0009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D1" w:rsidRDefault="000267D1" w:rsidP="00090130">
      <w:r>
        <w:separator/>
      </w:r>
    </w:p>
  </w:footnote>
  <w:footnote w:type="continuationSeparator" w:id="0">
    <w:p w:rsidR="000267D1" w:rsidRDefault="000267D1" w:rsidP="0009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82"/>
    <w:rsid w:val="00010F6F"/>
    <w:rsid w:val="000267D1"/>
    <w:rsid w:val="00090130"/>
    <w:rsid w:val="00B57524"/>
    <w:rsid w:val="00E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130"/>
    <w:rPr>
      <w:sz w:val="18"/>
      <w:szCs w:val="18"/>
    </w:rPr>
  </w:style>
  <w:style w:type="paragraph" w:styleId="a5">
    <w:name w:val="Block Text"/>
    <w:unhideWhenUsed/>
    <w:rsid w:val="00B57524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575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130"/>
    <w:rPr>
      <w:sz w:val="18"/>
      <w:szCs w:val="18"/>
    </w:rPr>
  </w:style>
  <w:style w:type="paragraph" w:styleId="a5">
    <w:name w:val="Block Text"/>
    <w:unhideWhenUsed/>
    <w:rsid w:val="00B57524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575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2022-02-18T09:37:00Z</dcterms:created>
  <dcterms:modified xsi:type="dcterms:W3CDTF">2022-02-18T09:55:00Z</dcterms:modified>
</cp:coreProperties>
</file>