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3515" cy="4485640"/>
            <wp:effectExtent l="0" t="0" r="9525" b="10160"/>
            <wp:docPr id="1" name="图片 1" descr="第二张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二张 (2)"/>
                    <pic:cNvPicPr>
                      <a:picLocks noChangeAspect="1"/>
                    </pic:cNvPicPr>
                  </pic:nvPicPr>
                  <pic:blipFill>
                    <a:blip r:embed="rId4"/>
                    <a:stretch>
                      <a:fillRect/>
                    </a:stretch>
                  </pic:blipFill>
                  <pic:spPr>
                    <a:xfrm>
                      <a:off x="0" y="0"/>
                      <a:ext cx="5263515" cy="4485640"/>
                    </a:xfrm>
                    <a:prstGeom prst="rect">
                      <a:avLst/>
                    </a:prstGeom>
                  </pic:spPr>
                </pic:pic>
              </a:graphicData>
            </a:graphic>
          </wp:inline>
        </w:drawing>
      </w:r>
      <w:r>
        <w:rPr>
          <w:rFonts w:hint="eastAsia" w:eastAsiaTheme="minorEastAsia"/>
          <w:lang w:eastAsia="zh-CN"/>
        </w:rPr>
        <w:drawing>
          <wp:inline distT="0" distB="0" distL="114300" distR="114300">
            <wp:extent cx="5264150" cy="3661410"/>
            <wp:effectExtent l="0" t="0" r="8890" b="11430"/>
            <wp:docPr id="3" name="图片 3" descr="第八张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八张 (3)"/>
                    <pic:cNvPicPr>
                      <a:picLocks noChangeAspect="1"/>
                    </pic:cNvPicPr>
                  </pic:nvPicPr>
                  <pic:blipFill>
                    <a:blip r:embed="rId5"/>
                    <a:stretch>
                      <a:fillRect/>
                    </a:stretch>
                  </pic:blipFill>
                  <pic:spPr>
                    <a:xfrm>
                      <a:off x="0" y="0"/>
                      <a:ext cx="5264150" cy="3661410"/>
                    </a:xfrm>
                    <a:prstGeom prst="rect">
                      <a:avLst/>
                    </a:prstGeom>
                  </pic:spPr>
                </pic:pic>
              </a:graphicData>
            </a:graphic>
          </wp:inline>
        </w:drawing>
      </w:r>
      <w:r>
        <w:rPr>
          <w:rFonts w:hint="eastAsia" w:eastAsiaTheme="minorEastAsia"/>
          <w:lang w:eastAsia="zh-CN"/>
        </w:rPr>
        <w:drawing>
          <wp:inline distT="0" distB="0" distL="114300" distR="114300">
            <wp:extent cx="5233670" cy="3669665"/>
            <wp:effectExtent l="0" t="0" r="8890" b="3175"/>
            <wp:docPr id="2" name="图片 2" descr="第八张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八张 (4)"/>
                    <pic:cNvPicPr>
                      <a:picLocks noChangeAspect="1"/>
                    </pic:cNvPicPr>
                  </pic:nvPicPr>
                  <pic:blipFill>
                    <a:blip r:embed="rId6"/>
                    <a:stretch>
                      <a:fillRect/>
                    </a:stretch>
                  </pic:blipFill>
                  <pic:spPr>
                    <a:xfrm>
                      <a:off x="0" y="0"/>
                      <a:ext cx="5233670" cy="366966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7960" cy="4707890"/>
            <wp:effectExtent l="0" t="0" r="5080" b="1270"/>
            <wp:docPr id="4" name="图片 4" descr="第二张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二张 (3)"/>
                    <pic:cNvPicPr>
                      <a:picLocks noChangeAspect="1"/>
                    </pic:cNvPicPr>
                  </pic:nvPicPr>
                  <pic:blipFill>
                    <a:blip r:embed="rId7"/>
                    <a:stretch>
                      <a:fillRect/>
                    </a:stretch>
                  </pic:blipFill>
                  <pic:spPr>
                    <a:xfrm>
                      <a:off x="0" y="0"/>
                      <a:ext cx="5267960" cy="470789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03190" cy="588010"/>
            <wp:effectExtent l="0" t="0" r="8890" b="6350"/>
            <wp:docPr id="5" name="图片 5" descr="第八张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八张 (2)"/>
                    <pic:cNvPicPr>
                      <a:picLocks noChangeAspect="1"/>
                    </pic:cNvPicPr>
                  </pic:nvPicPr>
                  <pic:blipFill>
                    <a:blip r:embed="rId8"/>
                    <a:stretch>
                      <a:fillRect/>
                    </a:stretch>
                  </pic:blipFill>
                  <pic:spPr>
                    <a:xfrm>
                      <a:off x="0" y="0"/>
                      <a:ext cx="5203190" cy="588010"/>
                    </a:xfrm>
                    <a:prstGeom prst="rect">
                      <a:avLst/>
                    </a:prstGeom>
                  </pic:spPr>
                </pic:pic>
              </a:graphicData>
            </a:graphic>
          </wp:inline>
        </w:drawing>
      </w:r>
    </w:p>
    <w:p>
      <w:pPr>
        <w:ind w:firstLine="420" w:firstLineChars="200"/>
        <w:rPr>
          <w:rFonts w:hint="default" w:ascii="宋体" w:hAnsi="宋体" w:eastAsia="宋体" w:cs="宋体"/>
          <w:i w:val="0"/>
          <w:iCs w:val="0"/>
          <w:caps w:val="0"/>
          <w:color w:val="191919"/>
          <w:spacing w:val="0"/>
          <w:sz w:val="21"/>
          <w:szCs w:val="21"/>
          <w:shd w:val="clear" w:fill="FFFFFF"/>
          <w:lang w:val="en-US" w:eastAsia="zh-CN"/>
        </w:rPr>
      </w:pPr>
      <w:r>
        <w:rPr>
          <w:rFonts w:hint="eastAsia" w:ascii="宋体" w:hAnsi="宋体" w:eastAsia="宋体" w:cs="宋体"/>
          <w:i w:val="0"/>
          <w:iCs w:val="0"/>
          <w:caps w:val="0"/>
          <w:color w:val="191919"/>
          <w:spacing w:val="0"/>
          <w:sz w:val="21"/>
          <w:szCs w:val="21"/>
          <w:shd w:val="clear" w:fill="FFFFFF"/>
          <w:lang w:val="en-US" w:eastAsia="zh-CN"/>
        </w:rPr>
        <w:t>本项目位于河南省郑州市二七路以东，华盛路以北，周边以老旧小区为主，西侧临大卫城、人民公园，人车流量较大。</w:t>
      </w:r>
      <w:r>
        <w:rPr>
          <w:rFonts w:hint="eastAsia" w:ascii="宋体" w:hAnsi="宋体" w:cs="宋体"/>
          <w:szCs w:val="21"/>
          <w:lang w:val="en-US" w:eastAsia="zh-CN"/>
        </w:rPr>
        <w:t>为了推进以人为核心的新型城镇化，促进实现全体人民住有所居，该项目拟于城市中心区人民公园附近筹建以青年人才、青年创业者为租赁主体的宜居绿色社区。</w:t>
      </w:r>
    </w:p>
    <w:p>
      <w:pPr>
        <w:ind w:firstLine="420" w:firstLineChars="200"/>
        <w:rPr>
          <w:rFonts w:hint="default" w:ascii="宋体" w:hAnsi="宋体" w:eastAsia="宋体" w:cs="宋体"/>
          <w:i w:val="0"/>
          <w:iCs w:val="0"/>
          <w:caps w:val="0"/>
          <w:color w:val="191919"/>
          <w:spacing w:val="0"/>
          <w:sz w:val="21"/>
          <w:szCs w:val="21"/>
          <w:shd w:val="clear" w:fill="FFFFFF"/>
          <w:lang w:val="en-US" w:eastAsia="zh-CN"/>
        </w:rPr>
      </w:pPr>
      <w:r>
        <w:rPr>
          <w:rFonts w:hint="eastAsia" w:ascii="宋体" w:hAnsi="宋体" w:eastAsia="宋体" w:cs="宋体"/>
          <w:i w:val="0"/>
          <w:iCs w:val="0"/>
          <w:caps w:val="0"/>
          <w:color w:val="191919"/>
          <w:spacing w:val="0"/>
          <w:sz w:val="21"/>
          <w:szCs w:val="21"/>
          <w:shd w:val="clear" w:fill="FFFFFF"/>
        </w:rPr>
        <w:t>2020年9月22日，2020年9月，习近平主席在第七十五届联合国大会一般性辩论上阐明，应对气候变化</w:t>
      </w:r>
      <w:r>
        <w:rPr>
          <w:rFonts w:hint="eastAsia" w:ascii="宋体" w:hAnsi="宋体" w:eastAsia="宋体" w:cs="宋体"/>
          <w:i w:val="0"/>
          <w:iCs w:val="0"/>
          <w:caps w:val="0"/>
          <w:color w:val="191919"/>
          <w:spacing w:val="0"/>
          <w:sz w:val="21"/>
          <w:szCs w:val="21"/>
          <w:shd w:val="clear" w:fill="FFFFFF"/>
          <w:lang w:val="en-US" w:eastAsia="zh-CN"/>
        </w:rPr>
        <w:t>的</w:t>
      </w:r>
      <w:r>
        <w:rPr>
          <w:rFonts w:hint="eastAsia" w:ascii="宋体" w:hAnsi="宋体" w:eastAsia="宋体" w:cs="宋体"/>
          <w:i w:val="0"/>
          <w:iCs w:val="0"/>
          <w:caps w:val="0"/>
          <w:color w:val="191919"/>
          <w:spacing w:val="0"/>
          <w:sz w:val="21"/>
          <w:szCs w:val="21"/>
          <w:shd w:val="clear" w:fill="FFFFFF"/>
        </w:rPr>
        <w:t>《巴黎协定》代表了全球绿色低碳转型的大方向，中国将提高国家自主贡献力度，采取更加有力的政策和措施二氧化碳排放力争于2030年前达到峰值，努力争取2060年前实现“碳中和”。“双碳”目标的提出和落实，体现了中国作为一个负责任的大国，在发展理念、发展模式、实践行动上积极参与和引领全球绿色低碳发展的努力。</w:t>
      </w:r>
      <w:r>
        <w:rPr>
          <w:rFonts w:hint="eastAsia" w:ascii="宋体" w:hAnsi="宋体" w:eastAsia="宋体" w:cs="宋体"/>
          <w:i w:val="0"/>
          <w:iCs w:val="0"/>
          <w:caps w:val="0"/>
          <w:color w:val="191919"/>
          <w:spacing w:val="0"/>
          <w:sz w:val="21"/>
          <w:szCs w:val="21"/>
          <w:shd w:val="clear" w:fill="FFFFFF"/>
          <w:lang w:val="en-US" w:eastAsia="zh-CN"/>
        </w:rPr>
        <w:t>因此，本项目基于“</w:t>
      </w:r>
      <w:r>
        <w:rPr>
          <w:rFonts w:hint="eastAsia" w:ascii="宋体" w:hAnsi="宋体" w:eastAsia="宋体" w:cs="宋体"/>
          <w:i w:val="0"/>
          <w:iCs w:val="0"/>
          <w:caps w:val="0"/>
          <w:color w:val="191919"/>
          <w:spacing w:val="0"/>
          <w:sz w:val="21"/>
          <w:szCs w:val="21"/>
          <w:shd w:val="clear" w:fill="FFFFFF"/>
        </w:rPr>
        <w:t>双碳”目标</w:t>
      </w:r>
      <w:r>
        <w:rPr>
          <w:rFonts w:hint="eastAsia" w:ascii="宋体" w:hAnsi="宋体" w:eastAsia="宋体" w:cs="宋体"/>
          <w:i w:val="0"/>
          <w:iCs w:val="0"/>
          <w:caps w:val="0"/>
          <w:color w:val="191919"/>
          <w:spacing w:val="0"/>
          <w:sz w:val="21"/>
          <w:szCs w:val="21"/>
          <w:shd w:val="clear" w:fill="FFFFFF"/>
          <w:lang w:val="en-US" w:eastAsia="zh-CN"/>
        </w:rPr>
        <w:t>提出以社区尺度的碳动力计划，以碳作为突破口，提取碳分子原型，寻找社区动力和碳循环之间的联系。构建由碳减排环线、碳动力环线、交通环线、公共服务节点和生态循环廊道构成的碳链网络系统以连接社区内所有的碳释放点以及碳捕集点，从而激发青年社区的动力。所谓的碳动力计划就是期望通过碳链网络系统达到碳排放与碳补偿之间的双向平衡，即通过低碳营造技达到净碳排放总量为零。</w:t>
      </w:r>
    </w:p>
    <w:p>
      <w:pPr>
        <w:ind w:firstLine="420" w:firstLineChars="200"/>
        <w:rPr>
          <w:rFonts w:hint="eastAsia" w:ascii="宋体" w:hAnsi="宋体" w:eastAsia="宋体" w:cs="宋体"/>
          <w:i w:val="0"/>
          <w:iCs w:val="0"/>
          <w:caps w:val="0"/>
          <w:color w:val="191919"/>
          <w:spacing w:val="0"/>
          <w:sz w:val="21"/>
          <w:szCs w:val="21"/>
          <w:shd w:val="clear" w:fill="FFFFFF"/>
          <w:lang w:val="en-US" w:eastAsia="zh-CN"/>
        </w:rPr>
      </w:pPr>
      <w:r>
        <w:rPr>
          <w:rFonts w:hint="eastAsia" w:ascii="宋体" w:hAnsi="宋体" w:eastAsia="宋体" w:cs="宋体"/>
          <w:i w:val="0"/>
          <w:iCs w:val="0"/>
          <w:caps w:val="0"/>
          <w:color w:val="191919"/>
          <w:spacing w:val="0"/>
          <w:sz w:val="21"/>
          <w:szCs w:val="21"/>
          <w:shd w:val="clear" w:fill="FFFFFF"/>
          <w:lang w:val="en-US" w:eastAsia="zh-CN"/>
        </w:rPr>
        <w:t>项目内建设住宅与宿舍两大类型建筑，在宿舍立面上使用双层呼吸玻璃幕墙以及光热建筑一体化体系，并在立面上使用垂直绿化和frp遮阳板，完善采光、遮阳以及通风系统；在住宅立面上采用微藻垂直过滤系统和虹吸式雨水收集系统实现建筑水循环体系；在住宅屋顶上设置屋顶花园，立面上设置滴灌式悬挂绿植实现绿化种植系统；在建筑屋顶上均铺设光伏太阳能板和发电风扇，实现光伏发电及风能一体化；在住宅内部利用文丘里效应通过架空层输送空气，通过管道将二氧化碳输送给屋顶绿植，通过管道装置层级过滤，形成碳吸收系统。在场地设计上设置植物层级过滤系统、湿地过滤系统和微藻过滤池等等集合成综合层级过滤体系。</w:t>
      </w:r>
    </w:p>
    <w:p>
      <w:pPr>
        <w:ind w:firstLine="420" w:firstLineChars="200"/>
        <w:rPr>
          <w:rFonts w:hint="eastAsia" w:ascii="宋体" w:hAnsi="宋体" w:eastAsia="宋体" w:cs="宋体"/>
          <w:i w:val="0"/>
          <w:iCs w:val="0"/>
          <w:caps w:val="0"/>
          <w:color w:val="191919"/>
          <w:spacing w:val="0"/>
          <w:sz w:val="21"/>
          <w:szCs w:val="21"/>
          <w:shd w:val="clear" w:fill="FFFFFF"/>
          <w:lang w:val="en-US" w:eastAsia="zh-CN"/>
        </w:rPr>
      </w:pPr>
      <w:r>
        <w:rPr>
          <w:rFonts w:hint="eastAsia" w:ascii="宋体" w:hAnsi="宋体" w:eastAsia="宋体" w:cs="宋体"/>
          <w:i w:val="0"/>
          <w:iCs w:val="0"/>
          <w:caps w:val="0"/>
          <w:color w:val="191919"/>
          <w:spacing w:val="0"/>
          <w:sz w:val="21"/>
          <w:szCs w:val="21"/>
          <w:shd w:val="clear" w:fill="FFFFFF"/>
          <w:lang w:val="en-US" w:eastAsia="zh-CN"/>
        </w:rPr>
        <w:t>以上，结合建筑构造设计以及项目场地设计，我们形成五大碳链网络。碳减排环线包括建材生产减排、建材运输减排、建筑施工减排、建筑使用减排和拆除废除减排；碳动力环线包括“碳足迹”追踪系统、地表基质碳汇、碳捕集系统和碳利用系统；交通环线包括环线跑道、低碳平台和共享出行；公共服务环线包括碳心广场、乐活空间、碳回收中心和邻里中心；生态循环绿廊包括生态廊道、雨水收集系统、湿地过滤系统和绿化种植系统。五大碳链环线网络相辅相成，构筑社区流动碳动力。</w:t>
      </w:r>
    </w:p>
    <w:p>
      <w:pPr>
        <w:ind w:firstLine="420" w:firstLineChars="200"/>
        <w:rPr>
          <w:rFonts w:hint="default" w:ascii="宋体" w:hAnsi="宋体" w:eastAsia="宋体" w:cs="宋体"/>
          <w:i w:val="0"/>
          <w:iCs w:val="0"/>
          <w:caps w:val="0"/>
          <w:color w:val="191919"/>
          <w:spacing w:val="0"/>
          <w:sz w:val="21"/>
          <w:szCs w:val="21"/>
          <w:shd w:val="clear" w:fill="FFFFFF"/>
          <w:lang w:val="en-US" w:eastAsia="zh-CN"/>
        </w:rPr>
      </w:pPr>
      <w:r>
        <w:rPr>
          <w:rFonts w:hint="eastAsia" w:ascii="宋体" w:hAnsi="宋体" w:eastAsia="宋体" w:cs="宋体"/>
          <w:i w:val="0"/>
          <w:iCs w:val="0"/>
          <w:caps w:val="0"/>
          <w:color w:val="191919"/>
          <w:spacing w:val="0"/>
          <w:sz w:val="21"/>
          <w:szCs w:val="21"/>
          <w:shd w:val="clear" w:fill="FFFFFF"/>
          <w:lang w:val="en-US" w:eastAsia="zh-CN"/>
        </w:rPr>
        <w:t>项目计划能够实现建成环境对于碳的吸收、有潜力创造一个碳排放由建筑吸收的全新经济循环。通过低碳社区环境的建设，社区内部发展制度的规定，社区低碳环境的营造，培养出社区居民低碳的生活方式，实现社区低碳化发展。期许该项目能够通过社区吸收碳排放服务于城市社会，让城市与建筑成为“双碳”计划的有力践行者。</w:t>
      </w:r>
    </w:p>
    <w:p>
      <w:pPr>
        <w:rPr>
          <w:rFonts w:hint="eastAsia" w:eastAsiaTheme="minorEastAsia"/>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3613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2022-03-04T13:08:43Z</dcterms:created>
  <dc:creator>fxb</dc:creator>
  <cp:lastModifiedBy>栩喵叽</cp:lastModifiedBy>
  <dcterms:modified xsi:type="dcterms:W3CDTF">2022-03-04T13:11:19Z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31608F59B30F4224B111BD4958F6408A</vt:lpwstr>
  </property>
</Properties>
</file>