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(1)选择适当材质的容器;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(2)控制水样的pH值;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(3)加入化学试剂抑制氧化还原反应和生化作用;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(4)冷藏或冷冻降低细菌活性和化学反应速度;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"http://gupa.gbsware.cn/project/javascript:;" \o "储水设施清洗消毒工作记录.docx"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t> 储水设施清洗消毒工作记录.docx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shd w:val="clear" w:fill="FFFFFF"/>
              </w:rPr>
              <w:t>生活饮用水储水设施清洗消毒后的水质检测报告</w:t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</w:rPr>
              <w:t>.docx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"http://gupa.gbsware.cn/project/javascript:;" \o "成品水箱的产品说明书.docx"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t> 成品水箱的产品说明书.docx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  <w:bookmarkStart w:id="0" w:name="_GoBack"/>
            <w:bookmarkEnd w:id="0"/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shd w:val="clear" w:fill="FFFFFF"/>
              </w:rPr>
              <w:t>生活饮用水储水设施设备材料采购清单</w:t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</w:rPr>
              <w:t>.docx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7112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Administrator</cp:lastModifiedBy>
  <dcterms:modified xsi:type="dcterms:W3CDTF">2022-03-04T02:53:57Z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55AEB1C921034F90B6C773BA7081BE8C</vt:lpwstr>
  </property>
</Properties>
</file>