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主要建筑构件空气 声隔声性能高要求标准限值为低限标准限值提高 5dB。楼板撞击声隔声性能高要 求标准限值除商业建筑外，均为低限标准限值降低 10dB，商业建筑楼板撞击声 隔声性能高要求标准限值为低限标准限值降低 5dB。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卧室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≥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≥50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卧室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卧室、起居室的分户楼板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＜75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＜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399"/>
      <w:bookmarkStart w:id="4" w:name="_Toc9945258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5261"/>
      <w:bookmarkStart w:id="7" w:name="_Toc9944975"/>
      <w:bookmarkStart w:id="8" w:name="_Toc9944695"/>
      <w:bookmarkStart w:id="9" w:name="_Toc9945402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"建筑构件隔声性能报告书.docx"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 建筑构件隔声性能报告书.docx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"建筑专业图纸与设计说明.docx"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 建筑专业图纸与设计说明.docx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"主要构件隔声性能检测报告.docx"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 主要构件隔声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sz w:val="24"/>
                <w:szCs w:val="24"/>
              </w:rPr>
              <w:t>性能检测报告.docx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73E6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7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栩喵叽</cp:lastModifiedBy>
  <dcterms:modified xsi:type="dcterms:W3CDTF">2022-03-06T08:35:08Z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D317E135B0D24B1AA7BA2E3FC6BB9110</vt:lpwstr>
  </property>
</Properties>
</file>