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2021年12月31日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c3e6a02024e3d"/>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T18259098708</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26953</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27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81.0</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101</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起居室墙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卧室墙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低限:≥35</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卧室外墙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起居室外墙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90厚混凝土板+80厚玻璃棉（松散）+10厚细石混凝土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54.8</w:t>
            </w:r>
          </w:p>
        </w:tc>
        <w:tc>
          <w:tcPr>
            <w:vAlign w:val="center"/>
          </w:tcPr>
          <w:p>
            <w:pPr/>
            <w:r>
              <w:t>55.3</w:t>
            </w:r>
          </w:p>
        </w:tc>
        <w:tc>
          <w:tcPr>
            <w:vAlign w:val="center"/>
          </w:tcPr>
          <w:p>
            <w:pPr/>
            <w:r>
              <w:t>59.4</w:t>
            </w:r>
          </w:p>
        </w:tc>
        <w:tc>
          <w:tcPr>
            <w:vAlign w:val="center"/>
          </w:tcPr>
          <w:p>
            <w:pPr/>
            <w:r>
              <w:t>61.1</w:t>
            </w:r>
          </w:p>
        </w:tc>
        <w:tc>
          <w:tcPr>
            <w:vAlign w:val="center"/>
          </w:tcPr>
          <w:p>
            <w:pPr/>
            <w:r>
              <w:t>50.3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54</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分隔住宅和非居住用途空间的楼板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90厚混凝土板+80厚玻璃棉（松散）+10厚细石混凝土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54.8</w:t>
            </w:r>
          </w:p>
        </w:tc>
        <w:tc>
          <w:tcPr>
            <w:vAlign w:val="center"/>
          </w:tcPr>
          <w:p>
            <w:pPr/>
            <w:r>
              <w:t>55.3</w:t>
            </w:r>
          </w:p>
        </w:tc>
        <w:tc>
          <w:tcPr>
            <w:vAlign w:val="center"/>
          </w:tcPr>
          <w:p>
            <w:pPr/>
            <w:r>
              <w:t>59.4</w:t>
            </w:r>
          </w:p>
        </w:tc>
        <w:tc>
          <w:tcPr>
            <w:vAlign w:val="center"/>
          </w:tcPr>
          <w:p>
            <w:pPr/>
            <w:r>
              <w:t>61.1</w:t>
            </w:r>
          </w:p>
        </w:tc>
        <w:tc>
          <w:tcPr>
            <w:vAlign w:val="center"/>
          </w:tcPr>
          <w:p>
            <w:pPr/>
            <w:r>
              <w:t>50.3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低限:&gt;51</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住宅建筑中其他外窗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中空夹层玻璃</w:t>
            </w:r>
            <w:r>
              <w:br/>
            </w:r>
            <w:r>
              <w:t>6+13A+5+1.5PVB+5</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30.0</w:t>
            </w:r>
          </w:p>
        </w:tc>
        <w:tc>
          <w:tcPr>
            <w:vAlign w:val="center"/>
          </w:tcPr>
          <w:p>
            <w:pPr/>
            <w:r>
              <w:t>30.0</w:t>
            </w:r>
          </w:p>
        </w:tc>
        <w:tc>
          <w:tcPr>
            <w:vAlign w:val="center"/>
          </w:tcPr>
          <w:p>
            <w:pPr/>
            <w:r>
              <w:t>39.0</w:t>
            </w:r>
          </w:p>
        </w:tc>
        <w:tc>
          <w:tcPr>
            <w:vAlign w:val="center"/>
          </w:tcPr>
          <w:p>
            <w:pPr/>
            <w:r>
              <w:t>44.0</w:t>
            </w:r>
          </w:p>
        </w:tc>
        <w:tc>
          <w:tcPr>
            <w:vAlign w:val="center"/>
          </w:tcPr>
          <w:p>
            <w:pPr/>
            <w:r>
              <w:t>45.0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5.0</w:t>
            </w:r>
          </w:p>
        </w:tc>
        <w:tc>
          <w:tcPr>
            <w:vAlign w:val="center"/>
          </w:tcPr>
          <w:p>
            <w:pPr/>
            <w:r>
              <w:t>3.0</w:t>
            </w:r>
          </w:p>
        </w:tc>
        <w:tc>
          <w:tcPr>
            <w:vAlign w:val="center"/>
          </w:tcPr>
          <w:p>
            <w:pPr/>
            <w:r>
              <w:t>1.0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42</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37</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2"/>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起居室的分户楼板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90厚混凝土板+80厚玻璃棉（松散）+10厚细石混凝土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54.8</w:t>
            </w:r>
          </w:p>
        </w:tc>
        <w:tc>
          <w:tcPr>
            <w:vAlign w:val="center"/>
          </w:tcPr>
          <w:p>
            <w:pPr/>
            <w:r>
              <w:rPr>
                <w:sz w:val="18"/>
                <w:szCs w:val="18"/>
              </w:rPr>
              <w:t>55.3</w:t>
            </w:r>
          </w:p>
        </w:tc>
        <w:tc>
          <w:tcPr>
            <w:vAlign w:val="center"/>
          </w:tcPr>
          <w:p>
            <w:pPr/>
            <w:r>
              <w:rPr>
                <w:sz w:val="18"/>
                <w:szCs w:val="18"/>
              </w:rPr>
              <w:t>59.4</w:t>
            </w:r>
          </w:p>
        </w:tc>
        <w:tc>
          <w:tcPr>
            <w:vAlign w:val="center"/>
          </w:tcPr>
          <w:p>
            <w:pPr/>
            <w:r>
              <w:rPr>
                <w:sz w:val="18"/>
                <w:szCs w:val="18"/>
              </w:rPr>
              <w:t>61.1</w:t>
            </w:r>
          </w:p>
        </w:tc>
        <w:tc>
          <w:tcPr>
            <w:vAlign w:val="center"/>
          </w:tcPr>
          <w:p>
            <w:pPr/>
            <w:r>
              <w:rPr>
                <w:sz w:val="18"/>
                <w:szCs w:val="18"/>
              </w:rPr>
              <w:t>50.3</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3.1</w:t>
            </w:r>
          </w:p>
        </w:tc>
        <w:tc>
          <w:tcPr>
            <w:vAlign w:val="center"/>
          </w:tcPr>
          <w:p>
            <w:pPr/>
            <w:r>
              <w:rPr>
                <w:sz w:val="18"/>
                <w:szCs w:val="18"/>
              </w:rPr>
              <w:t>5.3</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56</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r>
        <w:tc>
          <w:tcPr>
            <w:vAlign w:val="center"/>
            <w:shd w:val="clear" w:color="auto" w:fill="E6E6E6"/>
            <w:vMerge w:val="restart"/>
          </w:tcPr>
          <w:p>
            <w:pPr/>
            <w:r>
              <w:rPr>
                <w:sz w:val="18"/>
                <w:szCs w:val="18"/>
              </w:rPr>
              <w:t>卧室的分户楼板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90厚混凝土板+80厚玻璃棉（松散）+10厚细石混凝土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54.8</w:t>
            </w:r>
          </w:p>
        </w:tc>
        <w:tc>
          <w:tcPr>
            <w:vAlign w:val="center"/>
          </w:tcPr>
          <w:p>
            <w:pPr/>
            <w:r>
              <w:rPr>
                <w:sz w:val="18"/>
                <w:szCs w:val="18"/>
              </w:rPr>
              <w:t>55.3</w:t>
            </w:r>
          </w:p>
        </w:tc>
        <w:tc>
          <w:tcPr>
            <w:vAlign w:val="center"/>
          </w:tcPr>
          <w:p>
            <w:pPr/>
            <w:r>
              <w:rPr>
                <w:sz w:val="18"/>
                <w:szCs w:val="18"/>
              </w:rPr>
              <w:t>59.4</w:t>
            </w:r>
          </w:p>
        </w:tc>
        <w:tc>
          <w:tcPr>
            <w:vAlign w:val="center"/>
          </w:tcPr>
          <w:p>
            <w:pPr/>
            <w:r>
              <w:rPr>
                <w:sz w:val="18"/>
                <w:szCs w:val="18"/>
              </w:rPr>
              <w:t>61.1</w:t>
            </w:r>
          </w:p>
        </w:tc>
        <w:tc>
          <w:tcPr>
            <w:vAlign w:val="center"/>
          </w:tcPr>
          <w:p>
            <w:pPr/>
            <w:r>
              <w:rPr>
                <w:sz w:val="18"/>
                <w:szCs w:val="18"/>
              </w:rPr>
              <w:t>50.3</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3.1</w:t>
            </w:r>
          </w:p>
        </w:tc>
        <w:tc>
          <w:tcPr>
            <w:vAlign w:val="center"/>
          </w:tcPr>
          <w:p>
            <w:pPr/>
            <w:r>
              <w:rPr>
                <w:sz w:val="18"/>
                <w:szCs w:val="18"/>
              </w:rPr>
              <w:t>5.3</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56</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7" w:name="撞击声隔声"/>
      <w:bookmarkEnd w:id="37"/>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79.19998168945312"/>
        <w:gridCol w:w="1131.9999694824219"/>
        <w:gridCol w:w="2037.5999450683594"/>
        <w:gridCol w:w="1131.9999694824219"/>
        <w:gridCol w:w="1131.9999694824219"/>
        <w:gridCol w:w="1131.9999694824219"/>
        <w:gridCol w:w="2037.5999450683594"/>
      </w:tblGrid>
      <w:tr>
        <w:tc>
          <w:tcPr>
            <w:vAlign w:val="center"/>
            <w:shd w:val="clear" w:color="auto" w:fill="E6E6E6"/>
          </w:tcPr>
          <w:p>
            <w:pPr>
              <w:jc w:val="center"/>
            </w:pPr>
            <w:r>
              <w:rPr>
                <w:b/>
              </w:rPr>
              <w:t>序号</w:t>
            </w:r>
          </w:p>
        </w:tc>
        <w:tc>
          <w:tcPr>
            <w:vAlign w:val="center"/>
            <w:shd w:val="clear" w:color="auto" w:fill="E6E6E6"/>
          </w:tcPr>
          <w:p>
            <w:pPr>
              <w:jc w:val="center"/>
            </w:pPr>
            <w:r>
              <w:rPr>
                <w:b/>
              </w:rPr>
              <w:t>房间</w:t>
            </w:r>
          </w:p>
        </w:tc>
        <w:tc>
          <w:tcPr>
            <w:vAlign w:val="center"/>
            <w:shd w:val="clear" w:color="auto" w:fill="E6E6E6"/>
          </w:tcPr>
          <w:p>
            <w:pPr>
              <w:jc w:val="center"/>
            </w:pPr>
            <w:r>
              <w:rPr>
                <w:b/>
              </w:rPr>
              <w:t>构造</w:t>
            </w:r>
          </w:p>
        </w:tc>
        <w:tc>
          <w:tcPr>
            <w:vAlign w:val="center"/>
            <w:shd w:val="clear" w:color="auto" w:fill="E6E6E6"/>
          </w:tcPr>
          <w:p>
            <w:pPr>
              <w:jc w:val="center"/>
            </w:pPr>
            <w:r>
              <w:rPr>
                <w:b/>
              </w:rPr>
              <w:t>面积</w:t>
            </w:r>
          </w:p>
        </w:tc>
        <w:tc>
          <w:tcPr>
            <w:vAlign w:val="center"/>
            <w:shd w:val="clear" w:color="auto" w:fill="E6E6E6"/>
          </w:tcPr>
          <w:p>
            <w:pPr>
              <w:jc w:val="center"/>
            </w:pPr>
            <w:r>
              <w:rPr>
                <w:b/>
              </w:rPr>
              <w:t>隔声量</w:t>
            </w:r>
          </w:p>
        </w:tc>
        <w:tc>
          <w:tcPr>
            <w:vAlign w:val="center"/>
            <w:shd w:val="clear" w:color="auto" w:fill="E6E6E6"/>
          </w:tcPr>
          <w:p>
            <w:pPr>
              <w:jc w:val="center"/>
            </w:pPr>
            <w:r>
              <w:rPr>
                <w:b/>
              </w:rPr>
              <w:t>组合墙</w:t>
            </w:r>
            <w:r>
              <w:rPr>
                <w:b/>
              </w:rPr>
              <w:br/>
            </w:r>
            <w:r>
              <w:rPr>
                <w:b/>
              </w:rPr>
              <w:t>隔声量</w:t>
            </w:r>
          </w:p>
        </w:tc>
        <w:tc>
          <w:tcPr>
            <w:vAlign w:val="center"/>
            <w:shd w:val="clear" w:color="auto" w:fill="E6E6E6"/>
          </w:tcPr>
          <w:p>
            <w:pPr>
              <w:jc w:val="center"/>
            </w:pPr>
            <w:r>
              <w:rPr>
                <w:b/>
              </w:rPr>
              <w:t>达标情况</w:t>
            </w:r>
          </w:p>
        </w:tc>
      </w:tr>
      <w:tr>
        <w:tc>
          <w:tcPr>
            <w:vAlign w:val="center"/>
            <w:shd w:val="clear" w:color="auto" w:fill="E6E6E6"/>
            <w:vMerge w:val="restart"/>
          </w:tcPr>
          <w:p>
            <w:pPr>
              <w:jc w:val="center"/>
            </w:pPr>
            <w:r>
              <w:t>1</w:t>
            </w:r>
          </w:p>
        </w:tc>
        <w:tc>
          <w:tcPr>
            <w:vAlign w:val="center"/>
            <w:vMerge w:val="restart"/>
          </w:tcPr>
          <w:p>
            <w:pPr>
              <w:jc w:val="center"/>
            </w:pPr>
            <w:r>
              <w:t>6333@7</w:t>
            </w:r>
          </w:p>
        </w:tc>
        <w:tc>
          <w:tcPr>
            <w:vAlign w:val="center"/>
          </w:tcPr>
          <w:p>
            <w:pPr>
              <w:jc w:val="center"/>
            </w:pPr>
            <w:r>
              <w:t>卧室外墙</w:t>
            </w:r>
          </w:p>
        </w:tc>
        <w:tc>
          <w:tcPr>
            <w:vAlign w:val="center"/>
          </w:tcPr>
          <w:p>
            <w:pPr>
              <w:jc w:val="center"/>
            </w:pPr>
            <w:r>
              <w:t>3.3</w:t>
            </w:r>
          </w:p>
        </w:tc>
        <w:tc>
          <w:tcPr>
            <w:vAlign w:val="center"/>
          </w:tcPr>
          <w:p>
            <w:pPr>
              <w:jc w:val="center"/>
            </w:pPr>
            <w:r>
              <w:t>53</w:t>
            </w:r>
          </w:p>
        </w:tc>
        <w:tc>
          <w:tcPr>
            <w:vAlign w:val="center"/>
            <w:vMerge w:val="restart"/>
          </w:tcPr>
          <w:p>
            <w:pPr>
              <w:jc w:val="center"/>
            </w:pPr>
            <w:r>
              <w:t>41</w:t>
            </w:r>
          </w:p>
        </w:tc>
        <w:tc>
          <w:tcPr>
            <w:vAlign w:val="center"/>
            <w:vMerge w:val="restart"/>
          </w:tcPr>
          <w:p>
            <w:pPr>
              <w:jc w:val="center"/>
            </w:pPr>
            <w:r>
              <w:t>三星级</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外窗(C1512)</w:t>
            </w:r>
          </w:p>
        </w:tc>
        <w:tc>
          <w:tcPr>
            <w:vAlign w:val="center"/>
          </w:tcPr>
          <w:p>
            <w:pPr>
              <w:jc w:val="center"/>
            </w:pPr>
            <w:r>
              <w:t>1.8</w:t>
            </w:r>
          </w:p>
        </w:tc>
        <w:tc>
          <w:tcPr>
            <w:vAlign w:val="center"/>
          </w:tcPr>
          <w:p>
            <w:pPr>
              <w:jc w:val="center"/>
            </w:pPr>
            <w:r>
              <w:t>37</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2</w:t>
            </w:r>
          </w:p>
        </w:tc>
        <w:tc>
          <w:tcPr>
            <w:vAlign w:val="center"/>
            <w:vMerge w:val="restart"/>
          </w:tcPr>
          <w:p>
            <w:pPr>
              <w:jc w:val="center"/>
            </w:pPr>
            <w:r>
              <w:t>6172@17</w:t>
            </w:r>
          </w:p>
        </w:tc>
        <w:tc>
          <w:tcPr>
            <w:vAlign w:val="center"/>
          </w:tcPr>
          <w:p>
            <w:pPr>
              <w:jc w:val="center"/>
            </w:pPr>
            <w:r>
              <w:t>卧室外墙</w:t>
            </w:r>
          </w:p>
        </w:tc>
        <w:tc>
          <w:tcPr>
            <w:vAlign w:val="center"/>
          </w:tcPr>
          <w:p>
            <w:pPr>
              <w:jc w:val="center"/>
            </w:pPr>
            <w:r>
              <w:t>3.2</w:t>
            </w:r>
          </w:p>
        </w:tc>
        <w:tc>
          <w:tcPr>
            <w:vAlign w:val="center"/>
          </w:tcPr>
          <w:p>
            <w:pPr>
              <w:jc w:val="center"/>
            </w:pPr>
            <w:r>
              <w:t>53</w:t>
            </w:r>
          </w:p>
        </w:tc>
        <w:tc>
          <w:tcPr>
            <w:vAlign w:val="center"/>
            <w:vMerge w:val="restart"/>
          </w:tcPr>
          <w:p>
            <w:pPr>
              <w:jc w:val="center"/>
            </w:pPr>
            <w:r>
              <w:t>42</w:t>
            </w:r>
          </w:p>
        </w:tc>
        <w:tc>
          <w:tcPr>
            <w:vAlign w:val="center"/>
            <w:vMerge w:val="restart"/>
          </w:tcPr>
          <w:p>
            <w:pPr>
              <w:jc w:val="center"/>
            </w:pPr>
            <w:r>
              <w:t>三星级</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外窗(C1015)</w:t>
            </w:r>
          </w:p>
        </w:tc>
        <w:tc>
          <w:tcPr>
            <w:vAlign w:val="center"/>
          </w:tcPr>
          <w:p>
            <w:pPr>
              <w:jc w:val="center"/>
            </w:pPr>
            <w:r>
              <w:t>1.5</w:t>
            </w:r>
          </w:p>
        </w:tc>
        <w:tc>
          <w:tcPr>
            <w:vAlign w:val="center"/>
          </w:tcPr>
          <w:p>
            <w:pPr>
              <w:jc w:val="center"/>
            </w:pPr>
            <w:r>
              <w:t>37</w:t>
            </w:r>
          </w:p>
        </w:tc>
        <w:tc>
          <w:tcPr>
            <w:vAlign w:val="center"/>
            <w:vMerge/>
          </w:tcPr>
          <w:p>
            <w:pPr>
              <w:jc w:val="center"/>
            </w:pPr>
          </w:p>
        </w:tc>
        <w:tc>
          <w:tcPr>
            <w:vAlign w:val="center"/>
            <w:vMerge/>
          </w:tcPr>
          <w:p>
            <w:pPr>
              <w:jc w:val="center"/>
            </w:pPr>
          </w:p>
        </w:tc>
      </w:tr>
      <w:tr>
        <w:tc>
          <w:tcPr>
            <w:vAlign w:val="center"/>
            <w:shd w:val="clear" w:color="auto" w:fill="E6E6E6"/>
            <w:vMerge w:val="restart"/>
          </w:tcPr>
          <w:p>
            <w:pPr>
              <w:jc w:val="center"/>
            </w:pPr>
            <w:r>
              <w:t>3</w:t>
            </w:r>
          </w:p>
        </w:tc>
        <w:tc>
          <w:tcPr>
            <w:vAlign w:val="center"/>
            <w:vMerge w:val="restart"/>
          </w:tcPr>
          <w:p>
            <w:pPr>
              <w:jc w:val="center"/>
            </w:pPr>
            <w:r>
              <w:t>6001@11</w:t>
            </w:r>
          </w:p>
        </w:tc>
        <w:tc>
          <w:tcPr>
            <w:vAlign w:val="center"/>
          </w:tcPr>
          <w:p>
            <w:pPr>
              <w:jc w:val="center"/>
            </w:pPr>
            <w:r>
              <w:t>卧室外墙</w:t>
            </w:r>
          </w:p>
        </w:tc>
        <w:tc>
          <w:tcPr>
            <w:vAlign w:val="center"/>
          </w:tcPr>
          <w:p>
            <w:pPr>
              <w:jc w:val="center"/>
            </w:pPr>
            <w:r>
              <w:t>4.0</w:t>
            </w:r>
          </w:p>
        </w:tc>
        <w:tc>
          <w:tcPr>
            <w:vAlign w:val="center"/>
          </w:tcPr>
          <w:p>
            <w:pPr>
              <w:jc w:val="center"/>
            </w:pPr>
            <w:r>
              <w:t>53</w:t>
            </w:r>
          </w:p>
        </w:tc>
        <w:tc>
          <w:tcPr>
            <w:vAlign w:val="center"/>
            <w:vMerge w:val="restart"/>
          </w:tcPr>
          <w:p>
            <w:pPr>
              <w:jc w:val="center"/>
            </w:pPr>
            <w:r>
              <w:t>42</w:t>
            </w:r>
          </w:p>
        </w:tc>
        <w:tc>
          <w:tcPr>
            <w:vAlign w:val="center"/>
            <w:vMerge w:val="restart"/>
          </w:tcPr>
          <w:p>
            <w:pPr>
              <w:jc w:val="center"/>
            </w:pPr>
            <w:r>
              <w:t>三星级</w:t>
            </w:r>
          </w:p>
        </w:tc>
      </w:tr>
      <w:tr>
        <w:tc>
          <w:tcPr>
            <w:vAlign w:val="center"/>
            <w:shd w:val="clear" w:color="auto" w:fill="E6E6E6"/>
            <w:vMerge/>
          </w:tcPr>
          <w:p>
            <w:pPr>
              <w:jc w:val="center"/>
            </w:pPr>
          </w:p>
        </w:tc>
        <w:tc>
          <w:tcPr>
            <w:vAlign w:val="center"/>
            <w:vMerge/>
          </w:tcPr>
          <w:p>
            <w:pPr>
              <w:jc w:val="center"/>
            </w:pPr>
          </w:p>
        </w:tc>
        <w:tc>
          <w:tcPr>
            <w:vAlign w:val="center"/>
          </w:tcPr>
          <w:p>
            <w:pPr>
              <w:jc w:val="center"/>
            </w:pPr>
            <w:r>
              <w:t>外窗(C1512)</w:t>
            </w:r>
          </w:p>
        </w:tc>
        <w:tc>
          <w:tcPr>
            <w:vAlign w:val="center"/>
          </w:tcPr>
          <w:p>
            <w:pPr>
              <w:jc w:val="center"/>
            </w:pPr>
            <w:r>
              <w:t>1.8</w:t>
            </w:r>
          </w:p>
        </w:tc>
        <w:tc>
          <w:tcPr>
            <w:vAlign w:val="center"/>
          </w:tcPr>
          <w:p>
            <w:pPr>
              <w:jc w:val="center"/>
            </w:pPr>
            <w:r>
              <w:t>37</w:t>
            </w:r>
          </w:p>
        </w:tc>
        <w:tc>
          <w:tcPr>
            <w:vAlign w:val="center"/>
            <w:vMerge/>
          </w:tcPr>
          <w:p>
            <w:pPr>
              <w:jc w:val="center"/>
            </w:pPr>
          </w:p>
        </w:tc>
        <w:tc>
          <w:tcPr>
            <w:vAlign w:val="center"/>
            <w:vMerge/>
          </w:tcPr>
          <w:p>
            <w:pPr>
              <w:jc w:val="center"/>
            </w:pPr>
          </w:p>
        </w:tc>
      </w:tr>
    </w:tbl>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起居室墙</w:t>
            </w:r>
          </w:p>
        </w:tc>
        <w:tc>
          <w:tcPr>
            <w:vAlign w:val="center"/>
          </w:tcPr>
          <w:p>
            <w:pPr/>
            <w:r>
              <w:rPr>
                <w:b/>
              </w:rPr>
              <w:t>50</w:t>
            </w:r>
          </w:p>
        </w:tc>
        <w:tc>
          <w:tcPr>
            <w:vAlign w:val="center"/>
          </w:tcPr>
          <w:p>
            <w:pPr/>
            <w:r>
              <w:t>低限:≥30</w:t>
            </w:r>
          </w:p>
        </w:tc>
        <w:tc>
          <w:tcPr>
            <w:vAlign w:val="center"/>
          </w:tcPr>
          <w:p>
            <w:pPr/>
            <w:r>
              <w:rPr>
                <w:b/>
              </w:rPr>
              <w:t>满足高要求</w:t>
            </w:r>
          </w:p>
        </w:tc>
      </w:tr>
      <w:tr>
        <w:tc>
          <w:tcPr>
            <w:vAlign w:val="center"/>
            <w:shd w:val="clear" w:color="auto" w:fill="E6E6E6"/>
          </w:tcPr>
          <w:p>
            <w:pPr/>
            <w:r>
              <w:t>卧室墙</w:t>
            </w:r>
          </w:p>
        </w:tc>
        <w:tc>
          <w:tcPr>
            <w:vAlign w:val="center"/>
          </w:tcPr>
          <w:p>
            <w:pPr/>
            <w:r>
              <w:rPr>
                <w:b/>
              </w:rPr>
              <w:t>50</w:t>
            </w:r>
          </w:p>
        </w:tc>
        <w:tc>
          <w:tcPr>
            <w:vAlign w:val="center"/>
          </w:tcPr>
          <w:p>
            <w:pPr/>
            <w:r>
              <w:t>低限:≥35</w:t>
            </w:r>
          </w:p>
        </w:tc>
        <w:tc>
          <w:tcPr>
            <w:vAlign w:val="center"/>
          </w:tcPr>
          <w:p>
            <w:pPr/>
            <w:r>
              <w:rPr>
                <w:b/>
              </w:rPr>
              <w:t>满足高要求</w:t>
            </w:r>
          </w:p>
        </w:tc>
      </w:tr>
      <w:tr>
        <w:tc>
          <w:tcPr>
            <w:vAlign w:val="center"/>
            <w:shd w:val="clear" w:color="auto" w:fill="E6E6E6"/>
          </w:tcPr>
          <w:p>
            <w:pPr/>
            <w:r>
              <w:t>卧室外墙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起居室外墙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54</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分隔住宅和非居住用途空间的楼板</w:t>
            </w:r>
          </w:p>
        </w:tc>
        <w:tc>
          <w:tcPr>
            <w:vAlign w:val="center"/>
          </w:tcPr>
          <w:p>
            <w:pPr/>
            <w:r>
              <w:rPr>
                <w:b/>
              </w:rPr>
              <w:t>55</w:t>
            </w:r>
          </w:p>
        </w:tc>
        <w:tc>
          <w:tcPr>
            <w:vAlign w:val="center"/>
          </w:tcPr>
          <w:p>
            <w:pPr/>
            <w:r>
              <w:t>低限:&gt;51</w:t>
            </w:r>
          </w:p>
        </w:tc>
        <w:tc>
          <w:tcPr>
            <w:vAlign w:val="center"/>
          </w:tcPr>
          <w:p>
            <w:pPr/>
            <w:r>
              <w:rPr>
                <w:b/>
              </w:rPr>
              <w:t>满足高要求</w:t>
            </w:r>
          </w:p>
        </w:tc>
      </w:tr>
      <w:tr>
        <w:tc>
          <w:tcPr>
            <w:vAlign w:val="center"/>
            <w:shd w:val="clear" w:color="auto" w:fill="E6E6E6"/>
          </w:tcPr>
          <w:p>
            <w:pPr/>
            <w:r>
              <w:t>住宅建筑中其他外窗</w:t>
            </w:r>
          </w:p>
        </w:tc>
        <w:tc>
          <w:tcPr>
            <w:vAlign w:val="center"/>
          </w:tcPr>
          <w:p>
            <w:pPr/>
            <w:r>
              <w:rPr>
                <w:b/>
              </w:rPr>
              <w:t>37</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40" w:name="构件隔声性能统计"/>
      <w:bookmarkEnd w:id="40"/>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起居室的分户楼板</w:t>
            </w:r>
          </w:p>
        </w:tc>
        <w:tc>
          <w:tcPr>
            <w:vAlign w:val="center"/>
          </w:tcPr>
          <w:p>
            <w:pPr/>
            <w:r>
              <w:rPr>
                <w:b/>
              </w:rPr>
              <w:t>56</w:t>
            </w:r>
          </w:p>
        </w:tc>
        <w:tc>
          <w:tcPr>
            <w:vAlign w:val="center"/>
          </w:tcPr>
          <w:p>
            <w:pPr/>
            <w:r>
              <w:t>低限:&lt;75,高要求:&lt;65</w:t>
            </w:r>
          </w:p>
        </w:tc>
        <w:tc>
          <w:tcPr>
            <w:vAlign w:val="center"/>
          </w:tcPr>
          <w:p>
            <w:pPr/>
            <w:r>
              <w:rPr>
                <w:b/>
              </w:rPr>
              <w:t>满足高要求</w:t>
            </w:r>
          </w:p>
        </w:tc>
      </w:tr>
      <w:tr>
        <w:tc>
          <w:tcPr>
            <w:vAlign w:val="center"/>
            <w:shd w:val="clear" w:color="auto" w:fill="E6E6E6"/>
          </w:tcPr>
          <w:p>
            <w:pPr/>
            <w:r>
              <w:t>卧室的分户楼板</w:t>
            </w:r>
          </w:p>
        </w:tc>
        <w:tc>
          <w:tcPr>
            <w:vAlign w:val="center"/>
          </w:tcPr>
          <w:p>
            <w:pPr/>
            <w:r>
              <w:rPr>
                <w:b/>
              </w:rPr>
              <w:t>56</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1" w:name="撞击声隔声性能统计"/>
      <w:bookmarkEnd w:id="41"/>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41</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rPr>
              <w:t>三星级</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56</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rPr>
              <w:t>三星级</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rPr>
              <w:t>满足</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rPr>
              <w:t>满足高要求</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5</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rPr>
              <w:t>满足</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rPr>
              <w:t>满足高要求</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5</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rPr>
              <w:t>三星级</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32a266bc-eb0f-4ada-b8c5-8b2052ca0dfb.png" Id="R9d4c3e6a02024e3d"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