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</w:pPr>
    </w:p>
    <w:p>
      <w:pPr>
        <w:pStyle w:val="3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  </w:t>
      </w:r>
      <w:bookmarkStart w:id="0" w:name="_GoBack"/>
      <w:r>
        <w:rPr>
          <w:rFonts w:hint="eastAsia"/>
          <w:b w:val="0"/>
          <w:u w:val="single"/>
          <w:lang w:val="en-US" w:eastAsia="zh-CN"/>
        </w:rPr>
        <w:t>造绿庚青</w:t>
      </w:r>
      <w:bookmarkEnd w:id="0"/>
      <w:r>
        <w:rPr>
          <w:b w:val="0"/>
          <w:u w:val="single"/>
        </w:rPr>
        <w:t xml:space="preserve">           </w:t>
      </w:r>
    </w:p>
    <w:p>
      <w:pPr>
        <w:pStyle w:val="3"/>
      </w:pPr>
      <w:r>
        <w:rPr>
          <w:rFonts w:hint="eastAsia"/>
        </w:rPr>
        <w:t>对标条文：</w:t>
      </w:r>
    </w:p>
    <w:p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>
      <w:pPr>
        <w:ind w:firstLine="405"/>
      </w:pPr>
    </w:p>
    <w:p>
      <w:pPr>
        <w:pStyle w:val="3"/>
      </w:pPr>
      <w:r>
        <w:rPr>
          <w:rFonts w:hint="eastAsia"/>
        </w:rPr>
        <w:t>项目概况</w:t>
      </w:r>
      <w:r>
        <w:t>：</w:t>
      </w:r>
    </w:p>
    <w:p>
      <w:r>
        <w:tab/>
      </w:r>
      <w:r>
        <w:rPr>
          <w:rFonts w:hint="eastAsia"/>
        </w:rPr>
        <w:t>项目</w:t>
      </w:r>
      <w:r>
        <w:t>位于</w:t>
      </w:r>
      <w:r>
        <w:rPr>
          <w:rFonts w:hint="eastAsia"/>
          <w:lang w:val="en-US" w:eastAsia="zh-CN"/>
        </w:rPr>
        <w:t>重庆市渝中区长江滨江路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10128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31460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290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1015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3</w:t>
      </w:r>
      <w:r>
        <w:rPr>
          <w:rFonts w:hint="eastAsia"/>
          <w:u w:val="single"/>
          <w:lang w:val="en-US" w:eastAsia="zh-CN"/>
        </w:rPr>
        <w:t>2.2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.</w:t>
      </w:r>
    </w:p>
    <w:p/>
    <w:p>
      <w:pPr>
        <w:pStyle w:val="3"/>
      </w:pPr>
      <w:r>
        <w:rPr>
          <w:rFonts w:hint="eastAsia"/>
        </w:rPr>
        <w:t>人均集中绿地面积计算</w:t>
      </w:r>
      <w:r>
        <w:t>：</w:t>
      </w:r>
    </w:p>
    <w:p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</w:t>
      </w:r>
      <w:r>
        <w:rPr>
          <w:rFonts w:hint="eastAsia"/>
          <w:lang w:val="en-US" w:eastAsia="zh-CN"/>
        </w:rPr>
        <w:t>题</w:t>
      </w:r>
      <w:r>
        <w:t>目满足公共绿地要求的绿地面积为</w:t>
      </w:r>
      <w:r>
        <w:rPr>
          <w:rFonts w:hint="eastAsia"/>
          <w:lang w:val="en-US" w:eastAsia="zh-CN"/>
        </w:rPr>
        <w:t>1095</w:t>
      </w:r>
      <w:r>
        <w:rPr>
          <w:rFonts w:hint="eastAsia"/>
        </w:rPr>
        <w:t>㎡</w:t>
      </w:r>
      <w:r>
        <w:t>。</w:t>
      </w:r>
    </w:p>
    <w:p/>
    <w:p>
      <w:pPr>
        <w:ind w:firstLine="420"/>
        <w:rPr>
          <w:rFonts w:hint="default" w:eastAsiaTheme="minorEastAsia"/>
          <w:lang w:val="en-US" w:eastAsia="zh-CN"/>
        </w:rPr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 xml:space="preserve">= </w:t>
      </w:r>
      <w:r>
        <w:rPr>
          <w:rFonts w:hint="eastAsia"/>
          <w:lang w:val="en-US" w:eastAsia="zh-CN"/>
        </w:rPr>
        <w:t>1095</w:t>
      </w:r>
      <w:r>
        <w:t xml:space="preserve">/ </w:t>
      </w:r>
      <w:r>
        <w:rPr>
          <w:rFonts w:hint="eastAsia"/>
          <w:lang w:val="en-US" w:eastAsia="zh-CN"/>
        </w:rPr>
        <w:t>1015</w:t>
      </w:r>
      <w:r>
        <w:t xml:space="preserve"> =</w:t>
      </w:r>
      <w:r>
        <w:rPr>
          <w:rFonts w:hint="eastAsia"/>
          <w:lang w:val="en-US" w:eastAsia="zh-CN"/>
        </w:rPr>
        <w:t>1.07</w:t>
      </w:r>
    </w:p>
    <w:p>
      <w:pPr>
        <w:ind w:firstLine="420"/>
      </w:pPr>
    </w:p>
    <w:p>
      <w:pPr>
        <w:pStyle w:val="3"/>
      </w:pPr>
      <w:r>
        <w:rPr>
          <w:rFonts w:hint="eastAsia"/>
        </w:rPr>
        <w:t>结论</w:t>
      </w:r>
      <w:r>
        <w:t>：</w:t>
      </w:r>
    </w:p>
    <w:p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住宅人均集中绿地面积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为1.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07</w:t>
      </w:r>
      <w:r>
        <w:rPr>
          <w:rFonts w:hint="eastAsia" w:ascii="Arial Narrow" w:hAnsi="Arial Narrow" w:eastAsia="宋体" w:cs="宋体"/>
          <w:kern w:val="0"/>
          <w:szCs w:val="21"/>
        </w:rPr>
        <w:t>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F"/>
    <w:rsid w:val="004E628F"/>
    <w:rsid w:val="005456E8"/>
    <w:rsid w:val="0081682C"/>
    <w:rsid w:val="00E94094"/>
    <w:rsid w:val="00FD5F26"/>
    <w:rsid w:val="093E2889"/>
    <w:rsid w:val="158D645D"/>
    <w:rsid w:val="3B7D2007"/>
    <w:rsid w:val="4382169F"/>
    <w:rsid w:val="4A122BC6"/>
    <w:rsid w:val="5E0803E7"/>
    <w:rsid w:val="61AC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428</Characters>
  <Lines>3</Lines>
  <Paragraphs>1</Paragraphs>
  <TotalTime>41</TotalTime>
  <ScaleCrop>false</ScaleCrop>
  <LinksUpToDate>false</LinksUpToDate>
  <CharactersWithSpaces>502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建模大师</cp:lastModifiedBy>
  <dcterms:modified xsi:type="dcterms:W3CDTF">2022-02-20T16:51:02Z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</Properties>
</file>