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/>
        <w:jc w:val="center"/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  <w:t>环境噪声测量报告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3"/>
        <w:ind w:left="338"/>
        <w:rPr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fldChar w:fldCharType="begin"/>
      </w:r>
      <w:r>
        <w:instrText xml:space="preserve"> HYPERLINK "http://gupa.gbsware.cn/project/ViewPrjMain?clickedPrjID=P000002383&amp;prePage=personalCenter" </w:instrText>
      </w:r>
      <w:r>
        <w:fldChar w:fldCharType="separate"/>
      </w:r>
      <w:r>
        <w:rPr>
          <w:rFonts w:hint="eastAsia"/>
          <w:lang w:eastAsia="zh-CN"/>
        </w:rPr>
        <w:t>造绿赓青——3A逸廊白象居绿色社区设计</w:t>
      </w:r>
      <w:r>
        <w:rPr>
          <w:rFonts w:hint="eastAsia"/>
          <w:lang w:eastAsia="zh-CN"/>
        </w:rPr>
        <w:fldChar w:fldCharType="end"/>
      </w:r>
    </w:p>
    <w:p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pStyle w:val="3"/>
        <w:ind w:left="338"/>
        <w:rPr>
          <w:b w:val="0"/>
          <w:bCs w:val="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  <w:lang w:eastAsia="zh-CN"/>
        </w:rPr>
        <w:t>8.2.6   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场地内的环境噪声优于现行国家标准《声环境质量标准》GB 3096 的要求，评价总分值为10分，并按下列规则评分：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br w:type="textWrapping"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 </w:t>
      </w:r>
      <w:r>
        <w:rPr>
          <w:rFonts w:hint="eastAsia" w:ascii="宋体" w:hAnsi="宋体" w:eastAsia="宋体" w:cs="宋体"/>
          <w:b/>
          <w:bCs w:val="0"/>
          <w:sz w:val="20"/>
          <w:szCs w:val="20"/>
          <w:lang w:eastAsia="zh-CN"/>
        </w:rPr>
        <w:t xml:space="preserve"> 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环境噪声值大于2类声环境功能区标准限值，且小于或等于3类声环境功能区标准限值，得5分。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br w:type="textWrapping"/>
      </w: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4"/>
        <w:tabs>
          <w:tab w:val="left" w:pos="1307"/>
          <w:tab w:val="left" w:pos="3703"/>
        </w:tabs>
        <w:spacing w:line="276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rFonts w:hint="eastAsia" w:cs="宋体"/>
          <w:spacing w:val="22"/>
          <w:lang w:eastAsia="zh-CN"/>
        </w:rPr>
        <w:t>项目位于</w:t>
      </w:r>
      <w:r>
        <w:rPr>
          <w:rFonts w:hint="eastAsia" w:cs="宋体"/>
          <w:spacing w:val="22"/>
          <w:u w:val="single"/>
          <w:lang w:eastAsia="zh-CN"/>
        </w:rPr>
        <w:t>长江滨江</w:t>
      </w:r>
      <w:r>
        <w:rPr>
          <w:rFonts w:hint="eastAsia" w:cs="宋体"/>
          <w:spacing w:val="22"/>
          <w:lang w:eastAsia="zh-CN"/>
        </w:rPr>
        <w:t>路。该项目总用地面积为</w:t>
      </w:r>
      <w:r>
        <w:rPr>
          <w:rFonts w:hint="eastAsia" w:cs="宋体"/>
          <w:spacing w:val="22"/>
          <w:u w:val="single"/>
          <w:lang w:eastAsia="zh-CN"/>
        </w:rPr>
        <w:t>10128</w:t>
      </w:r>
      <w:r>
        <w:rPr>
          <w:rFonts w:hint="eastAsia" w:cs="宋体"/>
          <w:spacing w:val="22"/>
          <w:lang w:eastAsia="zh-CN"/>
        </w:rPr>
        <w:t>平方米，建筑面积为</w:t>
      </w:r>
      <w:r>
        <w:rPr>
          <w:rFonts w:hint="eastAsia" w:cs="宋体"/>
          <w:spacing w:val="22"/>
          <w:u w:val="single"/>
          <w:lang w:eastAsia="zh-CN"/>
        </w:rPr>
        <w:t>31460</w:t>
      </w:r>
      <w:r>
        <w:rPr>
          <w:rFonts w:hint="eastAsia" w:cs="宋体"/>
          <w:spacing w:val="22"/>
          <w:lang w:eastAsia="zh-CN"/>
        </w:rPr>
        <w:t>平方米，总户数</w:t>
      </w:r>
      <w:r>
        <w:rPr>
          <w:rFonts w:hint="eastAsia" w:cs="宋体"/>
          <w:spacing w:val="22"/>
          <w:u w:val="single"/>
          <w:lang w:eastAsia="zh-CN"/>
        </w:rPr>
        <w:t>290</w:t>
      </w:r>
      <w:r>
        <w:rPr>
          <w:rFonts w:hint="eastAsia" w:cs="宋体"/>
          <w:spacing w:val="22"/>
          <w:lang w:eastAsia="zh-CN"/>
        </w:rPr>
        <w:t>，总人数</w:t>
      </w:r>
      <w:r>
        <w:rPr>
          <w:rFonts w:hint="eastAsia" w:cs="宋体"/>
          <w:spacing w:val="22"/>
          <w:u w:val="single"/>
          <w:lang w:eastAsia="zh-CN"/>
        </w:rPr>
        <w:t>1015</w:t>
      </w:r>
      <w:r>
        <w:rPr>
          <w:rFonts w:hint="eastAsia" w:cs="宋体"/>
          <w:spacing w:val="22"/>
          <w:lang w:eastAsia="zh-CN"/>
        </w:rPr>
        <w:t>人 。地上</w:t>
      </w:r>
      <w:r>
        <w:rPr>
          <w:rFonts w:hint="eastAsia" w:cs="宋体"/>
          <w:spacing w:val="22"/>
          <w:u w:val="single"/>
          <w:lang w:eastAsia="zh-CN"/>
        </w:rPr>
        <w:t>18</w:t>
      </w:r>
      <w:r>
        <w:rPr>
          <w:rFonts w:hint="eastAsia" w:cs="宋体"/>
          <w:spacing w:val="22"/>
          <w:lang w:eastAsia="zh-CN"/>
        </w:rPr>
        <w:t>层，地上面积</w:t>
      </w:r>
      <w:r>
        <w:rPr>
          <w:rFonts w:hint="eastAsia" w:cs="宋体"/>
          <w:spacing w:val="22"/>
          <w:u w:val="single"/>
          <w:lang w:eastAsia="zh-CN"/>
        </w:rPr>
        <w:t>28314</w:t>
      </w:r>
      <w:r>
        <w:rPr>
          <w:rFonts w:hint="eastAsia" w:cs="宋体"/>
          <w:spacing w:val="22"/>
          <w:lang w:eastAsia="zh-CN"/>
        </w:rPr>
        <w:t>平米，地下面积</w:t>
      </w:r>
      <w:r>
        <w:rPr>
          <w:rFonts w:hint="eastAsia" w:cs="宋体"/>
          <w:spacing w:val="22"/>
          <w:u w:val="single"/>
          <w:lang w:eastAsia="zh-CN"/>
        </w:rPr>
        <w:t>3146</w:t>
      </w:r>
      <w:r>
        <w:rPr>
          <w:rFonts w:hint="eastAsia" w:cs="宋体"/>
          <w:spacing w:val="22"/>
          <w:lang w:eastAsia="zh-CN"/>
        </w:rPr>
        <w:t>平米。</w:t>
      </w:r>
    </w:p>
    <w:p>
      <w:pPr>
        <w:pStyle w:val="4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/>
        </w:rPr>
      </w:pPr>
      <w:r>
        <w:rPr>
          <w:rStyle w:val="15"/>
          <w:rFonts w:hint="eastAsia"/>
          <w:lang w:val="en-US" w:eastAsia="zh-CN"/>
        </w:rPr>
        <w:t>一</w:t>
      </w:r>
      <w:r>
        <w:rPr>
          <w:rStyle w:val="15"/>
          <w:rFonts w:hint="eastAsia"/>
        </w:rPr>
        <w:t>、实验仪器：</w:t>
      </w:r>
      <w:r>
        <w:rPr>
          <w:rFonts w:hint="eastAsia"/>
        </w:rPr>
        <w:t>便携式声级计</w:t>
      </w:r>
    </w:p>
    <w:p>
      <w:pPr>
        <w:rPr>
          <w:rStyle w:val="15"/>
          <w:rFonts w:hint="eastAsia"/>
        </w:rPr>
      </w:pPr>
      <w:r>
        <w:rPr>
          <w:rStyle w:val="15"/>
          <w:rFonts w:hint="eastAsia"/>
          <w:lang w:val="en-US" w:eastAsia="zh-CN"/>
        </w:rPr>
        <w:t>二</w:t>
      </w:r>
      <w:r>
        <w:rPr>
          <w:rStyle w:val="15"/>
          <w:rFonts w:hint="eastAsia"/>
        </w:rPr>
        <w:t>、实验方案</w:t>
      </w:r>
    </w:p>
    <w:p>
      <w:r>
        <w:rPr>
          <w:rFonts w:hint="eastAsia"/>
        </w:rPr>
        <w:t>1、测点描述：选取</w:t>
      </w:r>
      <w:r>
        <w:rPr>
          <w:rFonts w:hint="eastAsia"/>
          <w:lang w:eastAsia="zh-CN"/>
        </w:rPr>
        <w:t>社区</w:t>
      </w:r>
      <w:r>
        <w:rPr>
          <w:rFonts w:hint="eastAsia"/>
        </w:rPr>
        <w:t>内5个不同的典型位置处，每个测点每2分钟读数一次，共计读数15组。</w:t>
      </w:r>
    </w:p>
    <w:p>
      <w:r>
        <w:rPr>
          <w:rFonts w:hint="eastAsia"/>
        </w:rPr>
        <w:t>2、实验方法描述：定点移动测量法</w:t>
      </w:r>
    </w:p>
    <w:p>
      <w:pPr>
        <w:rPr>
          <w:rFonts w:hint="eastAsia"/>
        </w:rPr>
      </w:pPr>
      <w:r>
        <w:rPr>
          <w:rFonts w:hint="eastAsia"/>
        </w:rPr>
        <w:t>3、实验内容描述：测量</w:t>
      </w:r>
      <w:r>
        <w:rPr>
          <w:rFonts w:hint="eastAsia"/>
          <w:lang w:eastAsia="zh-CN"/>
        </w:rPr>
        <w:t>社区</w:t>
      </w:r>
      <w:r>
        <w:rPr>
          <w:rFonts w:hint="eastAsia"/>
        </w:rPr>
        <w:t>区域环境噪声分布，整理分析测量结果</w:t>
      </w:r>
    </w:p>
    <w:p>
      <w:pPr>
        <w:rPr>
          <w:rStyle w:val="15"/>
          <w:rFonts w:hint="eastAsia"/>
        </w:rPr>
      </w:pPr>
      <w:r>
        <w:rPr>
          <w:rStyle w:val="15"/>
          <w:rFonts w:hint="eastAsia"/>
        </w:rPr>
        <w:t>四，数据处理及分析</w:t>
      </w:r>
    </w:p>
    <w:p>
      <w:pPr>
        <w:ind w:firstLine="422"/>
        <w:rPr>
          <w:rFonts w:hint="eastAsia"/>
          <w:b/>
        </w:rPr>
      </w:pPr>
      <w:r>
        <w:rPr>
          <w:rFonts w:hint="eastAsia"/>
          <w:b/>
        </w:rPr>
        <w:t>1数据记录</w:t>
      </w:r>
    </w:p>
    <w:p>
      <w:pPr>
        <w:spacing w:line="276" w:lineRule="auto"/>
        <w:ind w:firstLine="420"/>
      </w:pPr>
      <w:r>
        <w:rPr>
          <w:rFonts w:hint="eastAsia"/>
        </w:rPr>
        <w:t>建筑室外场地噪声目前主要的噪声源为交通噪声，根据项目实际情况还可能考虑周边环境中工业噪声源等。本项目参与计算的噪声源如下表所</w:t>
      </w:r>
      <w:bookmarkStart w:id="3" w:name="_GoBack"/>
      <w:bookmarkEnd w:id="3"/>
      <w:r>
        <w:rPr>
          <w:rFonts w:hint="eastAsia"/>
        </w:rPr>
        <w:t>示，需要指出，噪声源表中的车速、车流量等数据由客户按照项目实际情况设定。</w:t>
      </w:r>
    </w:p>
    <w:p>
      <w:pPr>
        <w:rPr>
          <w:rFonts w:hint="eastAsia"/>
        </w:rPr>
      </w:pPr>
      <w:bookmarkStart w:id="0" w:name="声源表"/>
      <w:bookmarkEnd w:id="0"/>
      <w:r>
        <w:rPr>
          <w:sz w:val="24"/>
          <w:szCs w:val="24"/>
        </w:rPr>
        <w:t>表1 噪声源</w:t>
      </w:r>
      <w:r>
        <w:rPr>
          <w:rFonts w:hint="eastAsia"/>
          <w:sz w:val="24"/>
          <w:szCs w:val="24"/>
          <w:lang w:val="en-US" w:eastAsia="zh-CN"/>
        </w:rPr>
        <w:t>检测</w:t>
      </w:r>
      <w:r>
        <w:rPr>
          <w:sz w:val="24"/>
          <w:szCs w:val="24"/>
        </w:rPr>
        <w:t xml:space="preserve">              单位：dB(A)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</w:rPr>
        <w:t xml:space="preserve">     测量时间：20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—1—5</w:t>
      </w:r>
    </w:p>
    <w:p>
      <w:pPr>
        <w:spacing w:line="276" w:lineRule="auto"/>
        <w:jc w:val="center"/>
      </w:pPr>
    </w:p>
    <w:tbl>
      <w:tblPr>
        <w:tblStyle w:val="8"/>
        <w:tblW w:w="826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48"/>
        <w:gridCol w:w="707"/>
        <w:gridCol w:w="707"/>
        <w:gridCol w:w="838"/>
        <w:gridCol w:w="838"/>
        <w:gridCol w:w="838"/>
        <w:gridCol w:w="838"/>
        <w:gridCol w:w="838"/>
        <w:gridCol w:w="8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路段</w:t>
            </w:r>
          </w:p>
          <w:p>
            <w:pPr>
              <w:jc w:val="center"/>
            </w:pPr>
            <w:r>
              <w:rPr>
                <w:b/>
              </w:rPr>
              <w:t>名称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路面</w:t>
            </w:r>
          </w:p>
          <w:p>
            <w:pPr>
              <w:jc w:val="center"/>
            </w:pPr>
            <w:r>
              <w:rPr>
                <w:b/>
              </w:rPr>
              <w:t>材料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时段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设计</w:t>
            </w:r>
          </w:p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车速</w:t>
            </w:r>
          </w:p>
          <w:p>
            <w:pPr>
              <w:jc w:val="center"/>
            </w:pPr>
            <w:r>
              <w:rPr>
                <w:b/>
              </w:rPr>
              <w:t>km/h</w:t>
            </w:r>
          </w:p>
        </w:tc>
        <w:tc>
          <w:tcPr>
            <w:tcW w:w="167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小型车</w:t>
            </w:r>
          </w:p>
        </w:tc>
        <w:tc>
          <w:tcPr>
            <w:tcW w:w="167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中型车</w:t>
            </w:r>
          </w:p>
        </w:tc>
        <w:tc>
          <w:tcPr>
            <w:tcW w:w="167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大型车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车流量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辆/h</w:t>
            </w: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7.5m处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A声级</w:t>
            </w: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车流量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辆/h</w:t>
            </w: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7.5m处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A声级</w:t>
            </w: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车流量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辆/h</w:t>
            </w: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7.5m处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A声级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解放东路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center"/>
              <w:rPr>
                <w:rFonts w:hint="eastAsia" w:eastAsia="微软雅黑"/>
                <w:lang w:eastAsia="zh-CN"/>
              </w:rPr>
            </w:pPr>
            <w:r>
              <w:t>沥青</w:t>
            </w:r>
          </w:p>
          <w:p>
            <w:pPr>
              <w:jc w:val="center"/>
            </w:pPr>
            <w:r>
              <w:t>混凝土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长江滨江路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center"/>
              <w:rPr>
                <w:rFonts w:hint="eastAsia" w:eastAsia="微软雅黑"/>
                <w:lang w:eastAsia="zh-CN"/>
              </w:rPr>
            </w:pPr>
            <w:r>
              <w:t>沥青</w:t>
            </w:r>
          </w:p>
          <w:p>
            <w:pPr>
              <w:jc w:val="center"/>
            </w:pPr>
            <w:r>
              <w:t>混凝土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长江滨江路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center"/>
              <w:rPr>
                <w:rFonts w:hint="eastAsia" w:eastAsia="微软雅黑"/>
                <w:lang w:eastAsia="zh-CN"/>
              </w:rPr>
            </w:pPr>
            <w:r>
              <w:t>沥青</w:t>
            </w:r>
          </w:p>
          <w:p>
            <w:pPr>
              <w:jc w:val="center"/>
            </w:pPr>
            <w:r>
              <w:t>混凝土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t>78</w:t>
            </w:r>
          </w:p>
        </w:tc>
      </w:tr>
    </w:tbl>
    <w:p>
      <w:pPr>
        <w:ind w:firstLine="422"/>
        <w:rPr>
          <w:rFonts w:hint="eastAsia"/>
          <w:b/>
        </w:rPr>
      </w:pPr>
    </w:p>
    <w:p>
      <w:pPr>
        <w:ind w:firstLine="422"/>
        <w:rPr>
          <w:rFonts w:hint="eastAsia"/>
          <w:b/>
        </w:rPr>
      </w:pPr>
    </w:p>
    <w:p>
      <w:pPr>
        <w:ind w:firstLine="422"/>
        <w:rPr>
          <w:rFonts w:hint="eastAsia"/>
          <w:b/>
        </w:rPr>
      </w:pPr>
    </w:p>
    <w:p>
      <w:pPr>
        <w:ind w:firstLine="422"/>
        <w:rPr>
          <w:rFonts w:hint="eastAsia"/>
          <w:b/>
        </w:rPr>
      </w:pPr>
    </w:p>
    <w:tbl>
      <w:tblPr>
        <w:tblStyle w:val="8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848"/>
        <w:gridCol w:w="1302"/>
        <w:gridCol w:w="1302"/>
        <w:gridCol w:w="1302"/>
        <w:gridCol w:w="13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建筑名称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时段</w:t>
            </w:r>
          </w:p>
        </w:tc>
        <w:tc>
          <w:tcPr>
            <w:tcW w:w="130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1.5米高度</w:t>
            </w:r>
          </w:p>
          <w:p>
            <w:pPr>
              <w:jc w:val="center"/>
            </w:pPr>
            <w:r>
              <w:rPr>
                <w:b/>
              </w:rPr>
              <w:t>噪声最大值</w:t>
            </w:r>
          </w:p>
        </w:tc>
        <w:tc>
          <w:tcPr>
            <w:tcW w:w="130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2类</w:t>
            </w:r>
          </w:p>
          <w:p>
            <w:pPr>
              <w:jc w:val="center"/>
            </w:pPr>
            <w:r>
              <w:rPr>
                <w:b/>
              </w:rPr>
              <w:t>噪声限值</w:t>
            </w:r>
          </w:p>
        </w:tc>
        <w:tc>
          <w:tcPr>
            <w:tcW w:w="130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3类</w:t>
            </w:r>
          </w:p>
          <w:p>
            <w:pPr>
              <w:jc w:val="center"/>
            </w:pPr>
            <w:r>
              <w:rPr>
                <w:b/>
              </w:rPr>
              <w:t>噪声限值</w:t>
            </w:r>
          </w:p>
        </w:tc>
        <w:tc>
          <w:tcPr>
            <w:tcW w:w="135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微软雅黑"/>
                <w:b/>
                <w:lang w:eastAsia="zh-CN"/>
              </w:rPr>
            </w:pPr>
            <w:r>
              <w:rPr>
                <w:b/>
              </w:rPr>
              <w:t>得分</w:t>
            </w:r>
          </w:p>
          <w:p>
            <w:pPr>
              <w:jc w:val="center"/>
            </w:pPr>
            <w:r>
              <w:rPr>
                <w:b/>
              </w:rPr>
              <w:t>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室内分析单体DT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昼间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夜间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居住区1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昼间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夜间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退台1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昼间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夜间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退台2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昼间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夜间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退台3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昼间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9" w:type="dxa"/>
        </w:trPr>
        <w:tc>
          <w:tcPr>
            <w:tcW w:w="2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夜间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pPr>
        <w:pStyle w:val="17"/>
        <w:ind w:firstLine="420"/>
        <w:rPr>
          <w:sz w:val="21"/>
          <w:szCs w:val="21"/>
        </w:rPr>
      </w:pPr>
      <w:r>
        <w:rPr>
          <w:rFonts w:hint="eastAsia" w:ascii="宋体" w:hAnsi="Calibri"/>
          <w:sz w:val="21"/>
          <w:szCs w:val="21"/>
        </w:rPr>
        <w:t>综上所述，结果统计分析，最终判定本项目</w:t>
      </w:r>
      <w:bookmarkStart w:id="1" w:name="满足结论"/>
      <w:r>
        <w:rPr>
          <w:rFonts w:hint="eastAsia"/>
          <w:b/>
          <w:sz w:val="21"/>
        </w:rPr>
        <w:t>满足</w:t>
      </w:r>
      <w:bookmarkEnd w:id="1"/>
      <w:r>
        <w:rPr>
          <w:rFonts w:hint="eastAsia" w:ascii="宋体" w:hAnsi="Calibri"/>
          <w:sz w:val="21"/>
          <w:szCs w:val="21"/>
        </w:rPr>
        <w:t>《绿色建筑评价标准》</w:t>
      </w:r>
      <w:r>
        <w:rPr>
          <w:sz w:val="21"/>
          <w:szCs w:val="21"/>
        </w:rPr>
        <w:t>GB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50378-2019</w:t>
      </w:r>
      <w:r>
        <w:rPr>
          <w:rFonts w:hint="eastAsia"/>
          <w:sz w:val="21"/>
          <w:szCs w:val="21"/>
        </w:rPr>
        <w:t>第8.2.6条，</w:t>
      </w:r>
      <w:bookmarkStart w:id="2" w:name="得分结论"/>
      <w:r>
        <w:rPr>
          <w:b/>
          <w:sz w:val="21"/>
          <w:szCs w:val="21"/>
        </w:rPr>
        <w:t>得 10 分</w:t>
      </w:r>
      <w:bookmarkEnd w:id="2"/>
      <w:r>
        <w:rPr>
          <w:rFonts w:hint="eastAsia"/>
          <w:b/>
          <w:sz w:val="21"/>
          <w:szCs w:val="21"/>
        </w:rPr>
        <w:t>。</w:t>
      </w:r>
    </w:p>
    <w:p>
      <w:pPr>
        <w:rPr>
          <w:rStyle w:val="15"/>
          <w:rFonts w:hint="eastAsia"/>
        </w:rPr>
      </w:pPr>
      <w:r>
        <w:rPr>
          <w:rStyle w:val="15"/>
          <w:rFonts w:hint="eastAsia"/>
        </w:rPr>
        <w:t xml:space="preserve">                                    </w:t>
      </w:r>
    </w:p>
    <w:p>
      <w:pPr>
        <w:rPr>
          <w:rStyle w:val="15"/>
          <w:rFonts w:hint="eastAsia"/>
        </w:rPr>
      </w:pPr>
    </w:p>
    <w:sectPr>
      <w:pgSz w:w="11906" w:h="16838"/>
      <w:pgMar w:top="1191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5D1667"/>
    <w:rsid w:val="00363D07"/>
    <w:rsid w:val="00543DD6"/>
    <w:rsid w:val="005D1667"/>
    <w:rsid w:val="00972424"/>
    <w:rsid w:val="009D40B9"/>
    <w:rsid w:val="00BA2F95"/>
    <w:rsid w:val="00D34C10"/>
    <w:rsid w:val="00DB3D9E"/>
    <w:rsid w:val="00E20F69"/>
    <w:rsid w:val="00F559EF"/>
    <w:rsid w:val="5E60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华文宋体" w:hAnsi="华文宋体" w:eastAsia="华文宋体" w:cs="华文宋体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pPr>
      <w:widowControl w:val="0"/>
      <w:jc w:val="both"/>
    </w:pPr>
    <w:rPr>
      <w:rFonts w:ascii="华文宋体" w:hAnsi="华文宋体" w:eastAsia="华文宋体" w:cs="华文宋体"/>
      <w:kern w:val="2"/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华文宋体" w:hAnsi="华文宋体" w:eastAsia="华文宋体" w:cs="华文宋体"/>
      <w:kern w:val="2"/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华文宋体" w:hAnsi="华文宋体" w:eastAsia="华文宋体" w:cs="华文宋体"/>
      <w:kern w:val="2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Book Title"/>
    <w:basedOn w:val="10"/>
    <w:qFormat/>
    <w:uiPriority w:val="33"/>
    <w:rPr>
      <w:b/>
      <w:bCs/>
      <w:smallCaps/>
      <w:spacing w:val="5"/>
    </w:rPr>
  </w:style>
  <w:style w:type="character" w:customStyle="1" w:styleId="16">
    <w:name w:val="Intense Reference"/>
    <w:basedOn w:val="10"/>
    <w:qFormat/>
    <w:uiPriority w:val="32"/>
    <w:rPr>
      <w:b/>
      <w:bCs/>
      <w:smallCaps/>
      <w:color w:val="C0504D"/>
      <w:spacing w:val="5"/>
      <w:u w:val="single"/>
    </w:rPr>
  </w:style>
  <w:style w:type="paragraph" w:customStyle="1" w:styleId="17">
    <w:name w:val="毕业论文 正文"/>
    <w:basedOn w:val="1"/>
    <w:uiPriority w:val="0"/>
    <w:pPr>
      <w:spacing w:line="400" w:lineRule="exact"/>
      <w:ind w:firstLine="560" w:firstLineChars="200"/>
    </w:pPr>
    <w:rPr>
      <w:rFonts w:ascii="Times New Roman" w:hAnsi="Times New Roman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乐科科技</Manager>
  <Company>乐科科技</Company>
  <Pages>3</Pages>
  <Words>151</Words>
  <Characters>867</Characters>
  <Lines>7</Lines>
  <Paragraphs>2</Paragraphs>
  <TotalTime>1</TotalTime>
  <ScaleCrop>false</ScaleCrop>
  <LinksUpToDate>false</LinksUpToDate>
  <CharactersWithSpaces>1016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乐科科技</cp:category>
  <dcterms:created xsi:type="dcterms:W3CDTF">2014-01-15T11:16:00Z</dcterms:created>
  <dc:creator>乐科科技</dc:creator>
  <dc:description>乐科科技</dc:description>
  <cp:keywords>乐科</cp:keywords>
  <cp:lastModifiedBy>咸味绿</cp:lastModifiedBy>
  <dcterms:modified xsi:type="dcterms:W3CDTF">2022-03-06T19:14:06Z</dcterms:modified>
  <dc:subject>乐科科技</dc:subject>
  <dc:title>环境噪声测量实验报告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6E0E11FD0FE049E697503C56E88C0672</vt:lpwstr>
  </property>
</Properties>
</file>