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34"/>
        <w:ind w:left="790" w:right="790"/>
        <w:jc w:val="center"/>
        <w:rPr>
          <w:rFonts w:ascii="Times New Roman" w:hAnsi="Times New Roman" w:eastAsia="宋体"/>
          <w:szCs w:val="22"/>
        </w:rPr>
      </w:pPr>
    </w:p>
    <w:p>
      <w:pPr>
        <w:spacing w:before="234"/>
        <w:ind w:left="790" w:right="790"/>
        <w:jc w:val="center"/>
        <w:rPr>
          <w:rFonts w:ascii="Times New Roman" w:hAnsi="Times New Roman" w:eastAsia="宋体"/>
          <w:szCs w:val="22"/>
        </w:rPr>
      </w:pPr>
    </w:p>
    <w:p>
      <w:pPr>
        <w:spacing w:before="234"/>
        <w:ind w:left="790" w:right="790"/>
        <w:jc w:val="center"/>
        <w:rPr>
          <w:rFonts w:ascii="Times New Roman" w:hAnsi="Times New Roman" w:eastAsia="宋体"/>
          <w:szCs w:val="22"/>
        </w:rPr>
      </w:pPr>
    </w:p>
    <w:p>
      <w:pPr>
        <w:spacing w:before="234"/>
        <w:ind w:left="790" w:right="790"/>
        <w:jc w:val="center"/>
        <w:rPr>
          <w:rFonts w:ascii="Times New Roman" w:hAnsi="Times New Roman" w:eastAsia="宋体" w:cs="等线 Light"/>
          <w:sz w:val="36"/>
          <w:szCs w:val="22"/>
        </w:rPr>
      </w:pPr>
      <w:r>
        <w:rPr>
          <w:rFonts w:hint="eastAsia" w:ascii="等线 Light" w:hAnsi="等线 Light" w:eastAsia="等线 Light" w:cs="等线 Light"/>
          <w:sz w:val="36"/>
          <w:szCs w:val="22"/>
          <w:lang w:val="en-US" w:eastAsia="zh-CN"/>
        </w:rPr>
        <w:t>造绿赓青——3A逸廊白象居绿色社区设计</w:t>
      </w:r>
      <w:r>
        <w:rPr>
          <w:rFonts w:hint="eastAsia" w:ascii="Times New Roman" w:hAnsi="Times New Roman" w:eastAsia="宋体" w:cs="等线 Light"/>
          <w:sz w:val="36"/>
          <w:szCs w:val="22"/>
        </w:rPr>
        <w:t>项目</w:t>
      </w:r>
    </w:p>
    <w:p>
      <w:pPr>
        <w:widowControl w:val="0"/>
        <w:ind w:firstLine="400"/>
        <w:jc w:val="both"/>
        <w:rPr>
          <w:rFonts w:ascii="Times New Roman" w:hAnsi="Times New Roman" w:eastAsia="宋体" w:cs="宋体"/>
          <w:kern w:val="2"/>
          <w:sz w:val="20"/>
          <w:szCs w:val="24"/>
          <w:lang w:val="zh-CN" w:eastAsia="zh-CN" w:bidi="zh-CN"/>
        </w:rPr>
      </w:pPr>
    </w:p>
    <w:p>
      <w:pPr>
        <w:ind w:right="790"/>
        <w:rPr>
          <w:rFonts w:ascii="Times New Roman" w:hAnsi="Times New Roman" w:eastAsia="宋体"/>
          <w:b/>
          <w:bCs/>
          <w:sz w:val="48"/>
          <w:szCs w:val="22"/>
        </w:rPr>
      </w:pPr>
    </w:p>
    <w:p>
      <w:pPr>
        <w:ind w:right="790"/>
        <w:jc w:val="center"/>
        <w:rPr>
          <w:rFonts w:hint="default" w:ascii="Times New Roman" w:hAnsi="Times New Roman" w:eastAsia="宋体"/>
          <w:b/>
          <w:bCs/>
          <w:sz w:val="48"/>
          <w:szCs w:val="22"/>
          <w:lang w:val="en-US" w:eastAsia="zh-CN"/>
        </w:rPr>
      </w:pPr>
      <w:r>
        <w:rPr>
          <w:rFonts w:hint="eastAsia" w:ascii="Times New Roman" w:hAnsi="Times New Roman" w:eastAsia="宋体"/>
          <w:b/>
          <w:bCs/>
          <w:sz w:val="48"/>
          <w:szCs w:val="22"/>
        </w:rPr>
        <w:t xml:space="preserve"> </w:t>
      </w:r>
      <w:r>
        <w:rPr>
          <w:rFonts w:ascii="Times New Roman" w:hAnsi="Times New Roman" w:eastAsia="宋体"/>
          <w:b/>
          <w:bCs/>
          <w:sz w:val="48"/>
          <w:szCs w:val="22"/>
        </w:rPr>
        <w:t xml:space="preserve">   </w:t>
      </w:r>
      <w:r>
        <w:rPr>
          <w:rFonts w:hint="eastAsia"/>
          <w:b/>
          <w:bCs/>
          <w:sz w:val="48"/>
          <w:szCs w:val="22"/>
          <w:lang w:val="en-US" w:eastAsia="zh-CN"/>
        </w:rPr>
        <w:t>年径流总量控制率计算书</w:t>
      </w:r>
    </w:p>
    <w:p>
      <w:pPr>
        <w:widowControl/>
        <w:jc w:val="left"/>
        <w:rPr>
          <w:rFonts w:ascii="Times New Roman" w:hAnsi="Times New Roman" w:eastAsia="宋体"/>
          <w:szCs w:val="22"/>
        </w:rPr>
      </w:pPr>
    </w:p>
    <w:p>
      <w:pPr>
        <w:widowControl/>
        <w:jc w:val="left"/>
        <w:rPr>
          <w:rFonts w:ascii="Times New Roman" w:hAnsi="Times New Roman" w:eastAsia="宋体"/>
          <w:szCs w:val="22"/>
        </w:rPr>
      </w:pPr>
    </w:p>
    <w:p>
      <w:pPr>
        <w:widowControl/>
        <w:jc w:val="left"/>
        <w:rPr>
          <w:rFonts w:ascii="Times New Roman" w:hAnsi="Times New Roman" w:eastAsia="宋体"/>
          <w:szCs w:val="22"/>
        </w:rPr>
      </w:pPr>
    </w:p>
    <w:p>
      <w:pPr>
        <w:widowControl/>
        <w:jc w:val="left"/>
        <w:rPr>
          <w:rFonts w:ascii="Times New Roman" w:hAnsi="Times New Roman" w:eastAsia="宋体"/>
          <w:szCs w:val="22"/>
        </w:rPr>
      </w:pPr>
    </w:p>
    <w:p>
      <w:pPr>
        <w:widowControl/>
        <w:jc w:val="left"/>
        <w:rPr>
          <w:rFonts w:ascii="Times New Roman" w:hAnsi="Times New Roman" w:eastAsia="宋体"/>
          <w:szCs w:val="22"/>
        </w:rPr>
      </w:pPr>
    </w:p>
    <w:p>
      <w:pPr>
        <w:widowControl/>
        <w:jc w:val="left"/>
        <w:rPr>
          <w:rFonts w:ascii="Times New Roman" w:hAnsi="Times New Roman" w:eastAsia="宋体"/>
          <w:szCs w:val="22"/>
        </w:rPr>
      </w:pPr>
    </w:p>
    <w:p>
      <w:pPr>
        <w:widowControl/>
        <w:jc w:val="left"/>
        <w:rPr>
          <w:rFonts w:ascii="Times New Roman" w:hAnsi="Times New Roman" w:eastAsia="宋体"/>
          <w:szCs w:val="22"/>
        </w:rPr>
      </w:pPr>
    </w:p>
    <w:p>
      <w:pPr>
        <w:widowControl/>
        <w:jc w:val="left"/>
        <w:rPr>
          <w:rFonts w:ascii="Times New Roman" w:hAnsi="Times New Roman" w:eastAsia="宋体"/>
          <w:szCs w:val="22"/>
        </w:rPr>
      </w:pPr>
    </w:p>
    <w:p>
      <w:pPr>
        <w:widowControl/>
        <w:jc w:val="left"/>
        <w:rPr>
          <w:rFonts w:ascii="Times New Roman" w:hAnsi="Times New Roman" w:eastAsia="宋体"/>
          <w:szCs w:val="22"/>
        </w:rPr>
      </w:pPr>
    </w:p>
    <w:p>
      <w:pPr>
        <w:widowControl/>
        <w:jc w:val="left"/>
        <w:rPr>
          <w:rFonts w:ascii="Times New Roman" w:hAnsi="Times New Roman" w:eastAsia="宋体"/>
          <w:szCs w:val="22"/>
        </w:rPr>
      </w:pPr>
    </w:p>
    <w:p>
      <w:pPr>
        <w:widowControl/>
        <w:jc w:val="left"/>
        <w:rPr>
          <w:rFonts w:ascii="Times New Roman" w:hAnsi="Times New Roman" w:eastAsia="宋体"/>
          <w:szCs w:val="22"/>
        </w:rPr>
      </w:pPr>
    </w:p>
    <w:p>
      <w:pPr>
        <w:widowControl/>
        <w:jc w:val="left"/>
        <w:rPr>
          <w:rFonts w:ascii="Times New Roman" w:hAnsi="Times New Roman" w:eastAsia="宋体"/>
          <w:szCs w:val="22"/>
        </w:rPr>
      </w:pPr>
    </w:p>
    <w:p>
      <w:pPr>
        <w:widowControl/>
        <w:jc w:val="left"/>
        <w:rPr>
          <w:rFonts w:ascii="Times New Roman" w:hAnsi="Times New Roman" w:eastAsia="宋体"/>
          <w:szCs w:val="22"/>
        </w:rPr>
      </w:pPr>
    </w:p>
    <w:p>
      <w:pPr>
        <w:widowControl/>
        <w:jc w:val="left"/>
        <w:rPr>
          <w:rFonts w:ascii="Times New Roman" w:hAnsi="Times New Roman" w:eastAsia="宋体"/>
          <w:szCs w:val="22"/>
        </w:rPr>
      </w:pPr>
    </w:p>
    <w:p>
      <w:pPr>
        <w:widowControl/>
        <w:jc w:val="left"/>
        <w:rPr>
          <w:rFonts w:ascii="Times New Roman" w:hAnsi="Times New Roman" w:eastAsia="宋体"/>
          <w:szCs w:val="22"/>
        </w:rPr>
      </w:pPr>
    </w:p>
    <w:p>
      <w:pPr>
        <w:widowControl/>
        <w:jc w:val="left"/>
        <w:rPr>
          <w:rFonts w:ascii="Times New Roman" w:hAnsi="Times New Roman" w:eastAsia="宋体"/>
          <w:szCs w:val="22"/>
        </w:rPr>
      </w:pPr>
    </w:p>
    <w:p>
      <w:pPr>
        <w:widowControl/>
        <w:jc w:val="left"/>
        <w:rPr>
          <w:rFonts w:ascii="Times New Roman" w:hAnsi="Times New Roman" w:eastAsia="宋体"/>
          <w:szCs w:val="22"/>
        </w:rPr>
      </w:pPr>
    </w:p>
    <w:p>
      <w:pPr>
        <w:widowControl/>
        <w:jc w:val="left"/>
        <w:rPr>
          <w:rFonts w:ascii="Times New Roman" w:hAnsi="Times New Roman" w:eastAsia="宋体"/>
          <w:szCs w:val="22"/>
        </w:rPr>
      </w:pPr>
    </w:p>
    <w:p>
      <w:pPr>
        <w:widowControl w:val="0"/>
        <w:jc w:val="both"/>
        <w:rPr>
          <w:rFonts w:hint="eastAsia" w:ascii="Times New Roman" w:hAnsi="Times New Roman" w:eastAsia="宋体" w:cs="宋体"/>
          <w:kern w:val="2"/>
          <w:sz w:val="30"/>
          <w:szCs w:val="30"/>
          <w:lang w:val="zh-CN" w:eastAsia="zh-CN" w:bidi="zh-CN"/>
        </w:rPr>
      </w:pPr>
    </w:p>
    <w:p>
      <w:pPr>
        <w:widowControl w:val="0"/>
        <w:jc w:val="center"/>
        <w:rPr>
          <w:rFonts w:ascii="Times New Roman" w:hAnsi="Times New Roman" w:eastAsia="宋体" w:cs="宋体"/>
          <w:kern w:val="2"/>
          <w:sz w:val="30"/>
          <w:szCs w:val="30"/>
          <w:lang w:val="zh-CN" w:eastAsia="zh-CN" w:bidi="zh-CN"/>
        </w:rPr>
      </w:pPr>
      <w:r>
        <w:rPr>
          <w:rFonts w:hint="eastAsia" w:ascii="Times New Roman" w:hAnsi="Times New Roman" w:eastAsia="宋体" w:cs="宋体"/>
          <w:kern w:val="2"/>
          <w:sz w:val="30"/>
          <w:szCs w:val="30"/>
          <w:lang w:val="zh-CN" w:eastAsia="zh-CN" w:bidi="zh-CN"/>
        </w:rPr>
        <w:t>北京绿建软件股份有限公司</w:t>
      </w:r>
    </w:p>
    <w:p>
      <w:pPr>
        <w:widowControl/>
        <w:jc w:val="center"/>
        <w:rPr>
          <w:rFonts w:ascii="Times New Roman" w:hAnsi="Times New Roman" w:eastAsia="宋体"/>
          <w:szCs w:val="22"/>
        </w:rPr>
      </w:pPr>
      <w:r>
        <w:rPr>
          <w:rFonts w:ascii="Times New Roman" w:hAnsi="Times New Roman" w:eastAsia="宋体" w:cs="Times New Roman"/>
          <w:sz w:val="30"/>
          <w:szCs w:val="30"/>
        </w:rPr>
        <w:t>202</w:t>
      </w:r>
      <w:r>
        <w:rPr>
          <w:rFonts w:hint="eastAsia" w:ascii="Times New Roman" w:hAnsi="Times New Roman" w:eastAsia="宋体" w:cs="Times New Roman"/>
          <w:sz w:val="30"/>
          <w:szCs w:val="30"/>
          <w:lang w:val="en-US" w:eastAsia="zh-CN"/>
        </w:rPr>
        <w:t>2</w:t>
      </w:r>
      <w:r>
        <w:rPr>
          <w:rFonts w:ascii="Times New Roman" w:hAnsi="Times New Roman" w:eastAsia="宋体" w:cs="Times New Roman"/>
          <w:sz w:val="30"/>
          <w:szCs w:val="30"/>
        </w:rPr>
        <w:t>-0</w:t>
      </w:r>
      <w:r>
        <w:rPr>
          <w:rFonts w:hint="eastAsia" w:ascii="Times New Roman" w:hAnsi="Times New Roman" w:eastAsia="宋体" w:cs="Times New Roman"/>
          <w:sz w:val="30"/>
          <w:szCs w:val="30"/>
          <w:lang w:val="en-US" w:eastAsia="zh-CN"/>
        </w:rPr>
        <w:t>3</w:t>
      </w:r>
      <w:r>
        <w:rPr>
          <w:rFonts w:ascii="Times New Roman" w:hAnsi="Times New Roman" w:eastAsia="宋体" w:cs="Times New Roman"/>
          <w:sz w:val="30"/>
          <w:szCs w:val="30"/>
        </w:rPr>
        <w:t>-</w:t>
      </w:r>
      <w:r>
        <w:rPr>
          <w:rFonts w:hint="eastAsia" w:ascii="Times New Roman" w:hAnsi="Times New Roman" w:eastAsia="宋体" w:cs="Times New Roman"/>
          <w:sz w:val="30"/>
          <w:szCs w:val="30"/>
          <w:lang w:val="en-US" w:eastAsia="zh-CN"/>
        </w:rPr>
        <w:t>01</w:t>
      </w:r>
      <w:r>
        <w:rPr>
          <w:rFonts w:ascii="Times New Roman" w:hAnsi="Times New Roman" w:eastAsia="宋体"/>
          <w:szCs w:val="22"/>
        </w:rPr>
        <w:br w:type="page"/>
      </w:r>
    </w:p>
    <w:sdt>
      <w:sdtPr>
        <w:rPr>
          <w:rFonts w:ascii="宋体" w:hAnsi="宋体" w:eastAsia="宋体" w:cs="Times New Roman"/>
          <w:kern w:val="2"/>
          <w:sz w:val="30"/>
          <w:szCs w:val="30"/>
          <w:lang w:val="en-US" w:eastAsia="zh-CN" w:bidi="ar-SA"/>
        </w:rPr>
        <w:id w:val="147472672"/>
        <w15:color w:val="DBDBDB"/>
        <w:docPartObj>
          <w:docPartGallery w:val="Table of Contents"/>
          <w:docPartUnique/>
        </w:docPartObj>
      </w:sdtPr>
      <w:sdtEndPr>
        <w:rPr>
          <w:b/>
        </w:rPr>
      </w:sdtEndPr>
      <w:sdtContent>
        <w:p>
          <w:pPr>
            <w:spacing w:before="0" w:beforeLines="0" w:after="0" w:afterLines="0" w:line="240" w:lineRule="auto"/>
            <w:ind w:left="0" w:leftChars="0" w:right="0" w:rightChars="0" w:firstLine="0" w:firstLineChars="0"/>
            <w:jc w:val="center"/>
            <w:rPr>
              <w:b/>
              <w:bCs/>
              <w:sz w:val="30"/>
              <w:szCs w:val="30"/>
            </w:rPr>
          </w:pPr>
          <w:r>
            <w:rPr>
              <w:rFonts w:ascii="宋体" w:hAnsi="宋体" w:eastAsia="宋体"/>
              <w:b/>
              <w:bCs/>
              <w:sz w:val="30"/>
              <w:szCs w:val="30"/>
            </w:rPr>
            <w:t>目录</w:t>
          </w:r>
        </w:p>
        <w:p>
          <w:pPr>
            <w:pStyle w:val="19"/>
            <w:tabs>
              <w:tab w:val="right" w:leader="dot" w:pos="8306"/>
            </w:tabs>
            <w:rPr>
              <w:rFonts w:hint="eastAsia" w:ascii="宋体" w:hAnsi="宋体" w:eastAsia="宋体" w:cs="宋体"/>
              <w:b/>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"1-2" \h \u </w:instrText>
          </w:r>
          <w:r>
            <w:rPr>
              <w:rFonts w:hint="eastAsia" w:ascii="宋体" w:hAnsi="宋体" w:eastAsia="宋体" w:cs="宋体"/>
              <w:sz w:val="28"/>
              <w:szCs w:val="28"/>
            </w:rPr>
            <w:fldChar w:fldCharType="separate"/>
          </w:r>
          <w:bookmarkStart w:id="13" w:name="_GoBack"/>
          <w:bookmarkEnd w:id="13"/>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HYPERLINK \l _Toc29806 </w:instrText>
          </w:r>
          <w:r>
            <w:rPr>
              <w:rFonts w:hint="eastAsia" w:ascii="宋体" w:hAnsi="宋体" w:eastAsia="宋体" w:cs="宋体"/>
              <w:b/>
              <w:sz w:val="28"/>
              <w:szCs w:val="28"/>
            </w:rPr>
            <w:fldChar w:fldCharType="separate"/>
          </w:r>
          <w:r>
            <w:rPr>
              <w:rFonts w:hint="eastAsia" w:ascii="宋体" w:hAnsi="宋体" w:eastAsia="宋体" w:cs="宋体"/>
              <w:b/>
              <w:sz w:val="28"/>
              <w:szCs w:val="28"/>
            </w:rPr>
            <w:t>1. 项目概况</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_Toc29806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3</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19"/>
            <w:tabs>
              <w:tab w:val="right" w:leader="dot" w:pos="8306"/>
            </w:tabs>
            <w:rPr>
              <w:rFonts w:hint="eastAsia" w:ascii="宋体" w:hAnsi="宋体" w:eastAsia="宋体" w:cs="宋体"/>
              <w:b/>
              <w:sz w:val="28"/>
              <w:szCs w:val="28"/>
            </w:rPr>
          </w:pP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HYPERLINK \l _Toc9805 </w:instrText>
          </w:r>
          <w:r>
            <w:rPr>
              <w:rFonts w:hint="eastAsia" w:ascii="宋体" w:hAnsi="宋体" w:eastAsia="宋体" w:cs="宋体"/>
              <w:b/>
              <w:sz w:val="28"/>
              <w:szCs w:val="28"/>
            </w:rPr>
            <w:fldChar w:fldCharType="separate"/>
          </w:r>
          <w:r>
            <w:rPr>
              <w:rFonts w:hint="eastAsia" w:ascii="宋体" w:hAnsi="宋体" w:eastAsia="宋体" w:cs="宋体"/>
              <w:b/>
              <w:sz w:val="28"/>
              <w:szCs w:val="28"/>
            </w:rPr>
            <w:t>2. 设计</w:t>
          </w:r>
          <w:r>
            <w:rPr>
              <w:rFonts w:hint="eastAsia" w:ascii="宋体" w:hAnsi="宋体" w:eastAsia="宋体" w:cs="宋体"/>
              <w:b/>
              <w:sz w:val="28"/>
              <w:szCs w:val="28"/>
              <w:lang w:val="en-US" w:eastAsia="zh-CN"/>
            </w:rPr>
            <w:t>目的</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_Toc9805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3</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19"/>
            <w:tabs>
              <w:tab w:val="right" w:leader="dot" w:pos="8306"/>
            </w:tabs>
            <w:rPr>
              <w:rFonts w:hint="eastAsia" w:ascii="宋体" w:hAnsi="宋体" w:eastAsia="宋体" w:cs="宋体"/>
              <w:b/>
              <w:sz w:val="28"/>
              <w:szCs w:val="28"/>
            </w:rPr>
          </w:pP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HYPERLINK \l _Toc22272 </w:instrText>
          </w:r>
          <w:r>
            <w:rPr>
              <w:rFonts w:hint="eastAsia" w:ascii="宋体" w:hAnsi="宋体" w:eastAsia="宋体" w:cs="宋体"/>
              <w:b/>
              <w:sz w:val="28"/>
              <w:szCs w:val="28"/>
            </w:rPr>
            <w:fldChar w:fldCharType="separate"/>
          </w:r>
          <w:r>
            <w:rPr>
              <w:rFonts w:hint="eastAsia" w:ascii="宋体" w:hAnsi="宋体" w:eastAsia="宋体" w:cs="宋体"/>
              <w:b/>
              <w:sz w:val="28"/>
              <w:szCs w:val="28"/>
            </w:rPr>
            <w:t xml:space="preserve">3. </w:t>
          </w:r>
          <w:r>
            <w:rPr>
              <w:rFonts w:hint="eastAsia" w:ascii="宋体" w:hAnsi="宋体" w:eastAsia="宋体" w:cs="宋体"/>
              <w:b/>
              <w:sz w:val="28"/>
              <w:szCs w:val="28"/>
              <w:lang w:val="en-US" w:eastAsia="zh-CN"/>
            </w:rPr>
            <w:t>设计依据</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_Toc22272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4</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19"/>
            <w:tabs>
              <w:tab w:val="right" w:leader="dot" w:pos="8306"/>
            </w:tabs>
            <w:rPr>
              <w:rFonts w:hint="eastAsia" w:ascii="宋体" w:hAnsi="宋体" w:eastAsia="宋体" w:cs="宋体"/>
              <w:b/>
              <w:sz w:val="28"/>
              <w:szCs w:val="28"/>
            </w:rPr>
          </w:pP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HYPERLINK \l _Toc1442 </w:instrText>
          </w:r>
          <w:r>
            <w:rPr>
              <w:rFonts w:hint="eastAsia" w:ascii="宋体" w:hAnsi="宋体" w:eastAsia="宋体" w:cs="宋体"/>
              <w:b/>
              <w:sz w:val="28"/>
              <w:szCs w:val="28"/>
            </w:rPr>
            <w:fldChar w:fldCharType="separate"/>
          </w:r>
          <w:r>
            <w:rPr>
              <w:rFonts w:hint="eastAsia" w:ascii="宋体" w:hAnsi="宋体" w:eastAsia="宋体" w:cs="宋体"/>
              <w:b/>
              <w:sz w:val="28"/>
              <w:szCs w:val="28"/>
            </w:rPr>
            <w:t xml:space="preserve">4. </w:t>
          </w:r>
          <w:r>
            <w:rPr>
              <w:rFonts w:hint="eastAsia" w:ascii="宋体" w:hAnsi="宋体" w:eastAsia="宋体" w:cs="宋体"/>
              <w:b/>
              <w:sz w:val="28"/>
              <w:szCs w:val="28"/>
              <w:lang w:val="en-US" w:eastAsia="zh-CN"/>
            </w:rPr>
            <w:t>理论依据</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_Toc1442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4</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20"/>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_Toc15480 </w:instrText>
          </w:r>
          <w:r>
            <w:rPr>
              <w:rFonts w:hint="eastAsia" w:ascii="宋体" w:hAnsi="宋体" w:eastAsia="宋体" w:cs="宋体"/>
              <w:sz w:val="28"/>
              <w:szCs w:val="28"/>
            </w:rPr>
            <w:fldChar w:fldCharType="separate"/>
          </w:r>
          <w:r>
            <w:rPr>
              <w:rFonts w:hint="eastAsia" w:ascii="宋体" w:hAnsi="宋体" w:eastAsia="宋体" w:cs="宋体"/>
              <w:sz w:val="28"/>
              <w:szCs w:val="28"/>
            </w:rPr>
            <w:t>4.1场地径流控制目标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_Toc15480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0"/>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_Toc246 </w:instrText>
          </w:r>
          <w:r>
            <w:rPr>
              <w:rFonts w:hint="eastAsia" w:ascii="宋体" w:hAnsi="宋体" w:eastAsia="宋体" w:cs="宋体"/>
              <w:sz w:val="28"/>
              <w:szCs w:val="28"/>
            </w:rPr>
            <w:fldChar w:fldCharType="separate"/>
          </w:r>
          <w:r>
            <w:rPr>
              <w:rFonts w:hint="eastAsia" w:ascii="宋体" w:hAnsi="宋体" w:eastAsia="宋体" w:cs="宋体"/>
              <w:sz w:val="28"/>
              <w:szCs w:val="28"/>
            </w:rPr>
            <w:t>4.2场地径流控制模式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_Toc246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0"/>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_Toc9451 </w:instrText>
          </w:r>
          <w:r>
            <w:rPr>
              <w:rFonts w:hint="eastAsia" w:ascii="宋体" w:hAnsi="宋体" w:eastAsia="宋体" w:cs="宋体"/>
              <w:sz w:val="28"/>
              <w:szCs w:val="28"/>
            </w:rPr>
            <w:fldChar w:fldCharType="separate"/>
          </w:r>
          <w:r>
            <w:rPr>
              <w:rFonts w:hint="eastAsia" w:ascii="宋体" w:hAnsi="宋体" w:eastAsia="宋体" w:cs="宋体"/>
              <w:sz w:val="28"/>
              <w:szCs w:val="28"/>
            </w:rPr>
            <w:t>4.3年径流总量控制率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_Toc9451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9"/>
            <w:tabs>
              <w:tab w:val="right" w:leader="dot" w:pos="8306"/>
            </w:tabs>
            <w:rPr>
              <w:rFonts w:hint="eastAsia" w:ascii="宋体" w:hAnsi="宋体" w:eastAsia="宋体" w:cs="宋体"/>
              <w:b/>
              <w:sz w:val="28"/>
              <w:szCs w:val="28"/>
            </w:rPr>
          </w:pP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HYPERLINK \l _Toc8046 </w:instrText>
          </w:r>
          <w:r>
            <w:rPr>
              <w:rFonts w:hint="eastAsia" w:ascii="宋体" w:hAnsi="宋体" w:eastAsia="宋体" w:cs="宋体"/>
              <w:b/>
              <w:sz w:val="28"/>
              <w:szCs w:val="28"/>
            </w:rPr>
            <w:fldChar w:fldCharType="separate"/>
          </w:r>
          <w:r>
            <w:rPr>
              <w:rFonts w:hint="eastAsia" w:ascii="宋体" w:hAnsi="宋体" w:eastAsia="宋体" w:cs="宋体"/>
              <w:b/>
              <w:sz w:val="28"/>
              <w:szCs w:val="28"/>
            </w:rPr>
            <w:t>5. 场地年径流总量控制率计算</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_Toc8046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10</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20"/>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_Toc3244 </w:instrText>
          </w:r>
          <w:r>
            <w:rPr>
              <w:rFonts w:hint="eastAsia" w:ascii="宋体" w:hAnsi="宋体" w:eastAsia="宋体" w:cs="宋体"/>
              <w:sz w:val="28"/>
              <w:szCs w:val="28"/>
            </w:rPr>
            <w:fldChar w:fldCharType="separate"/>
          </w:r>
          <w:r>
            <w:rPr>
              <w:rFonts w:hint="eastAsia" w:ascii="宋体" w:hAnsi="宋体" w:eastAsia="宋体" w:cs="宋体"/>
              <w:sz w:val="28"/>
              <w:szCs w:val="28"/>
            </w:rPr>
            <w:t>5.1场地控制雨量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_Toc3244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0"/>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_Toc16081 </w:instrText>
          </w:r>
          <w:r>
            <w:rPr>
              <w:rFonts w:hint="eastAsia" w:ascii="宋体" w:hAnsi="宋体" w:eastAsia="宋体" w:cs="宋体"/>
              <w:sz w:val="28"/>
              <w:szCs w:val="28"/>
            </w:rPr>
            <w:fldChar w:fldCharType="separate"/>
          </w:r>
          <w:r>
            <w:rPr>
              <w:rFonts w:hint="eastAsia" w:ascii="宋体" w:hAnsi="宋体" w:eastAsia="宋体" w:cs="宋体"/>
              <w:sz w:val="28"/>
              <w:szCs w:val="28"/>
            </w:rPr>
            <w:t>5.2雨量径流系数</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_Toc16081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0"/>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_Toc19001 </w:instrText>
          </w:r>
          <w:r>
            <w:rPr>
              <w:rFonts w:hint="eastAsia" w:ascii="宋体" w:hAnsi="宋体" w:eastAsia="宋体" w:cs="宋体"/>
              <w:sz w:val="28"/>
              <w:szCs w:val="28"/>
            </w:rPr>
            <w:fldChar w:fldCharType="separate"/>
          </w:r>
          <w:r>
            <w:rPr>
              <w:rFonts w:hint="eastAsia" w:ascii="宋体" w:hAnsi="宋体" w:eastAsia="宋体" w:cs="宋体"/>
              <w:sz w:val="28"/>
              <w:szCs w:val="28"/>
            </w:rPr>
            <w:t>5.3雨水控制量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_Toc19001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0"/>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_Toc21542 </w:instrText>
          </w:r>
          <w:r>
            <w:rPr>
              <w:rFonts w:hint="eastAsia" w:ascii="宋体" w:hAnsi="宋体" w:eastAsia="宋体" w:cs="宋体"/>
              <w:sz w:val="28"/>
              <w:szCs w:val="28"/>
            </w:rPr>
            <w:fldChar w:fldCharType="separate"/>
          </w:r>
          <w:r>
            <w:rPr>
              <w:rFonts w:hint="eastAsia" w:ascii="宋体" w:hAnsi="宋体" w:eastAsia="宋体" w:cs="宋体"/>
              <w:sz w:val="28"/>
              <w:szCs w:val="28"/>
            </w:rPr>
            <w:t>5.4径流控制率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_Toc21542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9"/>
            <w:tabs>
              <w:tab w:val="right" w:leader="dot" w:pos="8306"/>
            </w:tabs>
            <w:rPr>
              <w:rFonts w:hint="eastAsia" w:ascii="宋体" w:hAnsi="宋体" w:eastAsia="宋体" w:cs="宋体"/>
              <w:b/>
              <w:sz w:val="28"/>
              <w:szCs w:val="28"/>
            </w:rPr>
          </w:pP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HYPERLINK \l _Toc15582 </w:instrText>
          </w:r>
          <w:r>
            <w:rPr>
              <w:rFonts w:hint="eastAsia" w:ascii="宋体" w:hAnsi="宋体" w:eastAsia="宋体" w:cs="宋体"/>
              <w:b/>
              <w:sz w:val="28"/>
              <w:szCs w:val="28"/>
            </w:rPr>
            <w:fldChar w:fldCharType="separate"/>
          </w:r>
          <w:r>
            <w:rPr>
              <w:rFonts w:hint="eastAsia" w:ascii="宋体" w:hAnsi="宋体" w:eastAsia="宋体" w:cs="宋体"/>
              <w:b/>
              <w:sz w:val="28"/>
              <w:szCs w:val="28"/>
            </w:rPr>
            <w:t>6. 结论</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_Toc15582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11</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rPr>
              <w:b/>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sz w:val="28"/>
              <w:szCs w:val="28"/>
            </w:rPr>
            <w:fldChar w:fldCharType="end"/>
          </w:r>
        </w:p>
      </w:sdtContent>
    </w:sdt>
    <w:p>
      <w:pPr>
        <w:numPr>
          <w:ilvl w:val="0"/>
          <w:numId w:val="1"/>
        </w:numPr>
        <w:spacing w:line="300" w:lineRule="auto"/>
        <w:ind w:left="360" w:hanging="360"/>
        <w:outlineLvl w:val="0"/>
        <w:rPr>
          <w:sz w:val="28"/>
          <w:szCs w:val="28"/>
        </w:rPr>
      </w:pPr>
      <w:bookmarkStart w:id="0" w:name="_Toc29806"/>
      <w:r>
        <w:rPr>
          <w:sz w:val="28"/>
          <w:szCs w:val="28"/>
        </w:rPr>
        <w:t>项目概况</w:t>
      </w:r>
      <w:bookmarkEnd w:id="0"/>
    </w:p>
    <w:p>
      <w:pPr>
        <w:rPr>
          <w:rFonts w:hint="eastAsia"/>
          <w:sz w:val="28"/>
          <w:szCs w:val="28"/>
        </w:rPr>
      </w:pPr>
      <w:r>
        <w:rPr>
          <w:sz w:val="28"/>
          <w:szCs w:val="28"/>
        </w:rPr>
        <w:t>1）本工程位于</w:t>
      </w:r>
      <w:r>
        <w:rPr>
          <w:rFonts w:hint="eastAsia" w:ascii="Times New Roman" w:eastAsia="宋体"/>
          <w:sz w:val="28"/>
          <w:szCs w:val="28"/>
          <w:lang w:val="en-US" w:eastAsia="zh-CN"/>
        </w:rPr>
        <w:t>重庆市渝中区</w:t>
      </w:r>
      <w:r>
        <w:rPr>
          <w:rFonts w:hint="eastAsia"/>
          <w:sz w:val="28"/>
          <w:szCs w:val="28"/>
        </w:rPr>
        <w:t>长江滨江路。</w:t>
      </w:r>
      <w:r>
        <w:rPr>
          <w:rFonts w:hint="eastAsia" w:ascii="Times New Roman" w:eastAsia="宋体"/>
          <w:sz w:val="28"/>
          <w:szCs w:val="28"/>
          <w:lang w:val="en-US" w:eastAsia="zh-CN"/>
        </w:rPr>
        <w:t>该项目总用地面积为10128平方米，建筑面积为31460平方米，总户数290，总人数1015人 。地上18层，地上面积28314平米，地下面积3146平米。</w:t>
      </w:r>
    </w:p>
    <w:p>
      <w:pPr>
        <w:rPr>
          <w:sz w:val="28"/>
          <w:szCs w:val="28"/>
        </w:rPr>
      </w:pPr>
      <w:r>
        <w:rPr>
          <w:sz w:val="28"/>
          <w:szCs w:val="28"/>
        </w:rPr>
        <w:t xml:space="preserve">2） </w:t>
      </w:r>
      <w:r>
        <w:rPr>
          <w:color w:val="000000" w:themeColor="text1"/>
          <w:sz w:val="28"/>
          <w:szCs w:val="28"/>
        </w:rPr>
        <w:t>项目用地面积</w:t>
      </w:r>
      <w:r>
        <w:rPr>
          <w:rFonts w:hint="eastAsia" w:ascii="Times New Roman" w:eastAsia="宋体"/>
          <w:color w:val="000000" w:themeColor="text1"/>
          <w:sz w:val="28"/>
          <w:szCs w:val="28"/>
          <w:lang w:val="en-US" w:eastAsia="zh-CN"/>
        </w:rPr>
        <w:t xml:space="preserve">10128 </w:t>
      </w:r>
      <w:r>
        <w:rPr>
          <w:color w:val="000000" w:themeColor="text1"/>
          <w:sz w:val="28"/>
          <w:szCs w:val="28"/>
        </w:rPr>
        <w:t>m</w:t>
      </w:r>
      <w:r>
        <w:rPr>
          <w:color w:val="000000" w:themeColor="text1"/>
          <w:sz w:val="28"/>
          <w:szCs w:val="28"/>
          <w:vertAlign w:val="superscript"/>
        </w:rPr>
        <w:t>2</w:t>
      </w:r>
      <w:r>
        <w:rPr>
          <w:color w:val="000000" w:themeColor="text1"/>
          <w:sz w:val="28"/>
          <w:szCs w:val="28"/>
        </w:rPr>
        <w:t>，其中：屋顶绿化面积</w:t>
      </w:r>
      <w:r>
        <w:rPr>
          <w:rFonts w:hint="eastAsia" w:ascii="Times New Roman" w:eastAsia="宋体"/>
          <w:color w:val="000000" w:themeColor="text1"/>
          <w:sz w:val="28"/>
          <w:szCs w:val="28"/>
          <w:lang w:val="en-US" w:eastAsia="zh-CN"/>
        </w:rPr>
        <w:t xml:space="preserve">484.1 </w:t>
      </w:r>
      <w:r>
        <w:rPr>
          <w:color w:val="000000" w:themeColor="text1"/>
          <w:sz w:val="28"/>
          <w:szCs w:val="28"/>
        </w:rPr>
        <w:t>m</w:t>
      </w:r>
      <w:r>
        <w:rPr>
          <w:color w:val="000000" w:themeColor="text1"/>
          <w:sz w:val="28"/>
          <w:szCs w:val="28"/>
          <w:vertAlign w:val="superscript"/>
        </w:rPr>
        <w:t>2</w:t>
      </w:r>
      <w:r>
        <w:rPr>
          <w:color w:val="000000" w:themeColor="text1"/>
          <w:sz w:val="28"/>
          <w:szCs w:val="28"/>
        </w:rPr>
        <w:t>，绿地面积</w:t>
      </w:r>
      <w:r>
        <w:rPr>
          <w:rFonts w:hint="eastAsia" w:ascii="Times New Roman" w:eastAsia="宋体"/>
          <w:color w:val="000000" w:themeColor="text1"/>
          <w:sz w:val="28"/>
          <w:szCs w:val="28"/>
          <w:lang w:val="en-US" w:eastAsia="zh-CN"/>
        </w:rPr>
        <w:t xml:space="preserve">4324.84 </w:t>
      </w:r>
      <w:r>
        <w:rPr>
          <w:sz w:val="28"/>
          <w:szCs w:val="28"/>
        </w:rPr>
        <w:t>m</w:t>
      </w:r>
      <w:r>
        <w:rPr>
          <w:sz w:val="28"/>
          <w:szCs w:val="28"/>
          <w:vertAlign w:val="superscript"/>
        </w:rPr>
        <w:t>2</w:t>
      </w:r>
      <w:r>
        <w:rPr>
          <w:sz w:val="28"/>
          <w:szCs w:val="28"/>
        </w:rPr>
        <w:t>，硬化面积(屋顶)</w:t>
      </w:r>
      <w:r>
        <w:rPr>
          <w:rFonts w:hint="eastAsia" w:ascii="Times New Roman" w:eastAsia="宋体"/>
          <w:sz w:val="28"/>
          <w:szCs w:val="28"/>
          <w:lang w:val="en-US" w:eastAsia="zh-CN"/>
        </w:rPr>
        <w:t xml:space="preserve"> 4 </w:t>
      </w:r>
      <w:r>
        <w:rPr>
          <w:sz w:val="28"/>
          <w:szCs w:val="28"/>
        </w:rPr>
        <w:t>m</w:t>
      </w:r>
      <w:r>
        <w:rPr>
          <w:sz w:val="28"/>
          <w:szCs w:val="28"/>
          <w:vertAlign w:val="superscript"/>
        </w:rPr>
        <w:t>2</w:t>
      </w:r>
      <w:r>
        <w:rPr>
          <w:sz w:val="28"/>
          <w:szCs w:val="28"/>
        </w:rPr>
        <w:t>，沥青路面积：</w:t>
      </w:r>
      <w:r>
        <w:rPr>
          <w:rFonts w:hint="eastAsia" w:ascii="Times New Roman" w:eastAsia="宋体"/>
          <w:sz w:val="28"/>
          <w:szCs w:val="28"/>
          <w:lang w:val="en-US" w:eastAsia="zh-CN"/>
        </w:rPr>
        <w:t xml:space="preserve">964.42 </w:t>
      </w:r>
      <w:r>
        <w:rPr>
          <w:sz w:val="28"/>
          <w:szCs w:val="28"/>
        </w:rPr>
        <w:t>m</w:t>
      </w:r>
      <w:r>
        <w:rPr>
          <w:sz w:val="28"/>
          <w:szCs w:val="28"/>
          <w:vertAlign w:val="superscript"/>
        </w:rPr>
        <w:t>2</w:t>
      </w:r>
      <w:r>
        <w:rPr>
          <w:sz w:val="28"/>
          <w:szCs w:val="28"/>
        </w:rPr>
        <w:t>，透水铺装面积</w:t>
      </w:r>
      <w:r>
        <w:rPr>
          <w:rFonts w:hint="eastAsia" w:ascii="Times New Roman" w:eastAsia="宋体"/>
          <w:sz w:val="28"/>
          <w:szCs w:val="28"/>
          <w:lang w:val="en-US" w:eastAsia="zh-CN"/>
        </w:rPr>
        <w:t xml:space="preserve">1096.07 </w:t>
      </w:r>
      <w:r>
        <w:rPr>
          <w:sz w:val="28"/>
          <w:szCs w:val="28"/>
        </w:rPr>
        <w:t>m</w:t>
      </w:r>
      <w:r>
        <w:rPr>
          <w:sz w:val="28"/>
          <w:szCs w:val="28"/>
          <w:vertAlign w:val="superscript"/>
        </w:rPr>
        <w:t>2</w:t>
      </w:r>
      <w:r>
        <w:rPr>
          <w:sz w:val="28"/>
          <w:szCs w:val="28"/>
        </w:rPr>
        <w:t>，总铺装面积</w:t>
      </w:r>
      <w:r>
        <w:rPr>
          <w:rFonts w:hint="eastAsia" w:ascii="Times New Roman" w:eastAsia="宋体"/>
          <w:sz w:val="28"/>
          <w:szCs w:val="28"/>
          <w:lang w:val="en-US" w:eastAsia="zh-CN"/>
        </w:rPr>
        <w:t xml:space="preserve">1743.68 </w:t>
      </w:r>
      <w:r>
        <w:rPr>
          <w:sz w:val="28"/>
          <w:szCs w:val="28"/>
        </w:rPr>
        <w:t>m</w:t>
      </w:r>
      <w:r>
        <w:rPr>
          <w:sz w:val="28"/>
          <w:szCs w:val="28"/>
          <w:vertAlign w:val="superscript"/>
        </w:rPr>
        <w:t>2</w:t>
      </w:r>
      <w:r>
        <w:rPr>
          <w:sz w:val="28"/>
          <w:szCs w:val="28"/>
        </w:rPr>
        <w:t>，</w:t>
      </w:r>
      <w:r>
        <w:rPr>
          <w:bCs/>
          <w:sz w:val="28"/>
          <w:szCs w:val="28"/>
        </w:rPr>
        <w:t>透水铺装率</w:t>
      </w:r>
      <w:r>
        <w:rPr>
          <w:rFonts w:hint="eastAsia" w:ascii="Times New Roman" w:eastAsia="宋体"/>
          <w:bCs/>
          <w:sz w:val="28"/>
          <w:szCs w:val="28"/>
          <w:lang w:val="en-US" w:eastAsia="zh-CN"/>
        </w:rPr>
        <w:t>63%</w:t>
      </w:r>
      <w:r>
        <w:rPr>
          <w:bCs/>
          <w:sz w:val="28"/>
          <w:szCs w:val="28"/>
        </w:rPr>
        <w:t>；下凹</w:t>
      </w:r>
      <w:r>
        <w:rPr>
          <w:sz w:val="28"/>
          <w:szCs w:val="28"/>
        </w:rPr>
        <w:t>绿地面积</w:t>
      </w:r>
      <w:r>
        <w:rPr>
          <w:rFonts w:hint="eastAsia" w:ascii="Times New Roman" w:eastAsia="宋体"/>
          <w:sz w:val="28"/>
          <w:szCs w:val="28"/>
          <w:lang w:val="en-US" w:eastAsia="zh-CN"/>
        </w:rPr>
        <w:t xml:space="preserve">2324 </w:t>
      </w:r>
      <w:r>
        <w:rPr>
          <w:sz w:val="28"/>
          <w:szCs w:val="28"/>
        </w:rPr>
        <w:t>m</w:t>
      </w:r>
      <w:r>
        <w:rPr>
          <w:sz w:val="28"/>
          <w:szCs w:val="28"/>
          <w:vertAlign w:val="superscript"/>
        </w:rPr>
        <w:t>2</w:t>
      </w:r>
      <w:r>
        <w:rPr>
          <w:sz w:val="28"/>
          <w:szCs w:val="28"/>
        </w:rPr>
        <w:t>，</w:t>
      </w:r>
      <w:r>
        <w:rPr>
          <w:bCs/>
          <w:sz w:val="28"/>
          <w:szCs w:val="28"/>
        </w:rPr>
        <w:t>下凹绿地率</w:t>
      </w:r>
      <w:r>
        <w:rPr>
          <w:rFonts w:hint="eastAsia" w:ascii="Times New Roman" w:eastAsia="宋体"/>
          <w:bCs/>
          <w:sz w:val="28"/>
          <w:szCs w:val="28"/>
          <w:lang w:val="en-US" w:eastAsia="zh-CN"/>
        </w:rPr>
        <w:t>60</w:t>
      </w:r>
      <w:r>
        <w:rPr>
          <w:bCs/>
          <w:sz w:val="28"/>
          <w:szCs w:val="28"/>
          <w:u w:val="single"/>
        </w:rPr>
        <w:t>%</w:t>
      </w:r>
      <w:r>
        <w:rPr>
          <w:bCs/>
          <w:sz w:val="28"/>
          <w:szCs w:val="28"/>
        </w:rPr>
        <w:t>。</w:t>
      </w:r>
    </w:p>
    <w:p>
      <w:pPr>
        <w:spacing w:line="300" w:lineRule="auto"/>
        <w:rPr>
          <w:sz w:val="28"/>
          <w:szCs w:val="28"/>
        </w:rPr>
      </w:pPr>
      <w:r>
        <w:rPr>
          <w:bCs/>
          <w:sz w:val="28"/>
          <w:szCs w:val="28"/>
        </w:rPr>
        <w:t>3）屋面雨水排水方式采用</w:t>
      </w:r>
      <w:r>
        <w:rPr>
          <w:bCs/>
          <w:sz w:val="28"/>
          <w:szCs w:val="28"/>
          <w:u w:val="single"/>
        </w:rPr>
        <w:t>外排水，排至散水面。</w:t>
      </w:r>
    </w:p>
    <w:p>
      <w:pPr>
        <w:numPr>
          <w:ilvl w:val="0"/>
          <w:numId w:val="1"/>
        </w:numPr>
        <w:spacing w:line="300" w:lineRule="auto"/>
        <w:ind w:left="360" w:hanging="360"/>
        <w:outlineLvl w:val="0"/>
        <w:rPr>
          <w:sz w:val="28"/>
          <w:szCs w:val="28"/>
        </w:rPr>
      </w:pPr>
      <w:bookmarkStart w:id="1" w:name="_Toc9805"/>
      <w:r>
        <w:rPr>
          <w:sz w:val="28"/>
          <w:szCs w:val="28"/>
        </w:rPr>
        <w:t>设计</w:t>
      </w:r>
      <w:r>
        <w:rPr>
          <w:rFonts w:hint="eastAsia"/>
          <w:sz w:val="28"/>
          <w:szCs w:val="28"/>
          <w:lang w:val="en-US" w:eastAsia="zh-CN"/>
        </w:rPr>
        <w:t>目的</w:t>
      </w:r>
      <w:bookmarkEnd w:id="1"/>
    </w:p>
    <w:p>
      <w:pPr>
        <w:keepNext w:val="0"/>
        <w:keepLines w:val="0"/>
        <w:pageBreakBefore w:val="0"/>
        <w:widowControl w:val="0"/>
        <w:numPr>
          <w:numId w:val="0"/>
        </w:numPr>
        <w:kinsoku/>
        <w:wordWrap/>
        <w:overflowPunct/>
        <w:topLinePunct w:val="0"/>
        <w:autoSpaceDE/>
        <w:autoSpaceDN/>
        <w:bidi w:val="0"/>
        <w:adjustRightInd/>
        <w:snapToGrid/>
        <w:spacing w:line="300" w:lineRule="auto"/>
        <w:ind w:leftChars="0" w:firstLine="560" w:firstLineChars="200"/>
        <w:textAlignment w:val="auto"/>
        <w:rPr>
          <w:rFonts w:hint="eastAsia"/>
          <w:sz w:val="28"/>
          <w:szCs w:val="28"/>
        </w:rPr>
      </w:pPr>
      <w:r>
        <w:rPr>
          <w:rFonts w:hint="eastAsia"/>
          <w:sz w:val="28"/>
          <w:szCs w:val="28"/>
        </w:rPr>
        <w:t>《绿色建筑评价标准》GB/T50378-2014第4.2.14条对场地年径流总量控制率提出了明确的相关要求。</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560" w:firstLineChars="200"/>
        <w:textAlignment w:val="auto"/>
        <w:rPr>
          <w:rFonts w:hint="eastAsia"/>
          <w:sz w:val="28"/>
          <w:szCs w:val="28"/>
        </w:rPr>
      </w:pPr>
      <w:r>
        <w:rPr>
          <w:rFonts w:hint="eastAsia"/>
          <w:sz w:val="28"/>
          <w:szCs w:val="28"/>
        </w:rPr>
        <w:t>4.2.14合理规划地表与屋面雨水径流，对场地雨水实施外排总量控制，评价总分值为6分。其场地年径流总量控制率达到55%，得3分;达到70%，得6分。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560" w:firstLineChars="200"/>
        <w:textAlignment w:val="auto"/>
        <w:rPr>
          <w:rFonts w:hint="eastAsia"/>
          <w:sz w:val="28"/>
          <w:szCs w:val="28"/>
        </w:rPr>
      </w:pPr>
      <w:r>
        <w:rPr>
          <w:rFonts w:hint="eastAsia"/>
          <w:sz w:val="28"/>
          <w:szCs w:val="28"/>
        </w:rPr>
        <w:t>本条的评价方法为:设计评价查阅当地降雨统计资料、相关设计文件、设计控制雨量计算书;运行评价查阅当地降雨统计资料、相关竣工图、设计控制雨量计算书、场地年径流总量控制报告，并现场核实。</w:t>
      </w:r>
    </w:p>
    <w:p>
      <w:pPr>
        <w:numPr>
          <w:ilvl w:val="0"/>
          <w:numId w:val="1"/>
        </w:numPr>
        <w:spacing w:line="300" w:lineRule="auto"/>
        <w:ind w:left="360" w:hanging="360"/>
        <w:outlineLvl w:val="0"/>
        <w:rPr>
          <w:sz w:val="28"/>
          <w:szCs w:val="28"/>
        </w:rPr>
      </w:pPr>
      <w:bookmarkStart w:id="2" w:name="_Toc22272"/>
      <w:r>
        <w:rPr>
          <w:rFonts w:hint="eastAsia"/>
          <w:sz w:val="28"/>
          <w:szCs w:val="28"/>
          <w:lang w:val="en-US" w:eastAsia="zh-CN"/>
        </w:rPr>
        <w:t>设计依据</w:t>
      </w:r>
      <w:bookmarkEnd w:id="2"/>
    </w:p>
    <w:p>
      <w:pPr>
        <w:keepNext w:val="0"/>
        <w:keepLines w:val="0"/>
        <w:pageBreakBefore w:val="0"/>
        <w:widowControl w:val="0"/>
        <w:numPr>
          <w:numId w:val="0"/>
        </w:numPr>
        <w:kinsoku/>
        <w:wordWrap/>
        <w:overflowPunct/>
        <w:topLinePunct w:val="0"/>
        <w:autoSpaceDE/>
        <w:autoSpaceDN/>
        <w:bidi w:val="0"/>
        <w:adjustRightInd/>
        <w:snapToGrid/>
        <w:spacing w:line="300" w:lineRule="auto"/>
        <w:ind w:leftChars="0" w:firstLine="560" w:firstLineChars="200"/>
        <w:textAlignment w:val="auto"/>
        <w:rPr>
          <w:rFonts w:hint="eastAsia"/>
          <w:sz w:val="28"/>
          <w:szCs w:val="28"/>
        </w:rPr>
      </w:pPr>
      <w:r>
        <w:rPr>
          <w:rFonts w:hint="eastAsia"/>
          <w:sz w:val="28"/>
          <w:szCs w:val="28"/>
        </w:rPr>
        <w:t>《绿色建筑评价标准》GB50378-2014《绿色建筑评价技术细则》</w:t>
      </w:r>
    </w:p>
    <w:p>
      <w:pPr>
        <w:keepNext w:val="0"/>
        <w:keepLines w:val="0"/>
        <w:pageBreakBefore w:val="0"/>
        <w:widowControl w:val="0"/>
        <w:numPr>
          <w:numId w:val="0"/>
        </w:numPr>
        <w:kinsoku/>
        <w:wordWrap/>
        <w:overflowPunct/>
        <w:topLinePunct w:val="0"/>
        <w:autoSpaceDE/>
        <w:autoSpaceDN/>
        <w:bidi w:val="0"/>
        <w:adjustRightInd/>
        <w:snapToGrid/>
        <w:spacing w:line="300" w:lineRule="auto"/>
        <w:ind w:leftChars="0" w:firstLine="560" w:firstLineChars="200"/>
        <w:textAlignment w:val="auto"/>
        <w:rPr>
          <w:rFonts w:hint="eastAsia"/>
          <w:sz w:val="28"/>
          <w:szCs w:val="28"/>
        </w:rPr>
      </w:pPr>
      <w:r>
        <w:rPr>
          <w:rFonts w:hint="eastAsia"/>
          <w:sz w:val="28"/>
          <w:szCs w:val="28"/>
        </w:rPr>
        <w:t>《建筑给排水设计规》GB 50015-2009</w:t>
      </w:r>
    </w:p>
    <w:p>
      <w:pPr>
        <w:keepNext w:val="0"/>
        <w:keepLines w:val="0"/>
        <w:pageBreakBefore w:val="0"/>
        <w:widowControl w:val="0"/>
        <w:numPr>
          <w:numId w:val="0"/>
        </w:numPr>
        <w:kinsoku/>
        <w:wordWrap/>
        <w:overflowPunct/>
        <w:topLinePunct w:val="0"/>
        <w:autoSpaceDE/>
        <w:autoSpaceDN/>
        <w:bidi w:val="0"/>
        <w:adjustRightInd/>
        <w:snapToGrid/>
        <w:spacing w:line="300" w:lineRule="auto"/>
        <w:ind w:leftChars="0" w:firstLine="560" w:firstLineChars="200"/>
        <w:textAlignment w:val="auto"/>
        <w:rPr>
          <w:rFonts w:hint="eastAsia"/>
          <w:sz w:val="28"/>
          <w:szCs w:val="28"/>
        </w:rPr>
      </w:pPr>
      <w:r>
        <w:rPr>
          <w:rFonts w:hint="eastAsia"/>
          <w:sz w:val="28"/>
          <w:szCs w:val="28"/>
        </w:rPr>
        <w:t>《全国民用建筑工程设计技术措施-给水排水》(2009年版)《建筑与小区雨水利用工程技术规》GB50400-2006</w:t>
      </w:r>
    </w:p>
    <w:p>
      <w:pPr>
        <w:keepNext w:val="0"/>
        <w:keepLines w:val="0"/>
        <w:pageBreakBefore w:val="0"/>
        <w:widowControl w:val="0"/>
        <w:numPr>
          <w:numId w:val="0"/>
        </w:numPr>
        <w:kinsoku/>
        <w:wordWrap/>
        <w:overflowPunct/>
        <w:topLinePunct w:val="0"/>
        <w:autoSpaceDE/>
        <w:autoSpaceDN/>
        <w:bidi w:val="0"/>
        <w:adjustRightInd/>
        <w:snapToGrid/>
        <w:spacing w:line="300" w:lineRule="auto"/>
        <w:ind w:leftChars="0" w:firstLine="560" w:firstLineChars="200"/>
        <w:textAlignment w:val="auto"/>
        <w:rPr>
          <w:rFonts w:hint="eastAsia"/>
          <w:sz w:val="28"/>
          <w:szCs w:val="28"/>
        </w:rPr>
      </w:pPr>
      <w:r>
        <w:rPr>
          <w:rFonts w:hint="eastAsia"/>
          <w:sz w:val="28"/>
          <w:szCs w:val="28"/>
        </w:rPr>
        <w:t>委托方提供的项目总平面图、景观设计图纸、景观设计说明等图纸资料委托方提供的其他相关资料</w:t>
      </w:r>
    </w:p>
    <w:p>
      <w:pPr>
        <w:numPr>
          <w:ilvl w:val="0"/>
          <w:numId w:val="1"/>
        </w:numPr>
        <w:spacing w:line="300" w:lineRule="auto"/>
        <w:ind w:left="360" w:hanging="360"/>
        <w:outlineLvl w:val="0"/>
        <w:rPr>
          <w:sz w:val="28"/>
          <w:szCs w:val="28"/>
        </w:rPr>
      </w:pPr>
      <w:bookmarkStart w:id="3" w:name="_Toc1442"/>
      <w:r>
        <w:rPr>
          <w:rFonts w:hint="eastAsia"/>
          <w:sz w:val="28"/>
          <w:szCs w:val="28"/>
          <w:lang w:val="en-US" w:eastAsia="zh-CN"/>
        </w:rPr>
        <w:t>理论依据</w:t>
      </w:r>
      <w:bookmarkEnd w:id="3"/>
    </w:p>
    <w:p>
      <w:pPr>
        <w:keepNext w:val="0"/>
        <w:keepLines w:val="0"/>
        <w:pageBreakBefore w:val="0"/>
        <w:widowControl w:val="0"/>
        <w:numPr>
          <w:numId w:val="0"/>
        </w:numPr>
        <w:kinsoku/>
        <w:wordWrap/>
        <w:overflowPunct/>
        <w:topLinePunct w:val="0"/>
        <w:autoSpaceDE/>
        <w:autoSpaceDN/>
        <w:bidi w:val="0"/>
        <w:adjustRightInd/>
        <w:snapToGrid/>
        <w:spacing w:line="300" w:lineRule="auto"/>
        <w:textAlignment w:val="auto"/>
        <w:outlineLvl w:val="1"/>
        <w:rPr>
          <w:rFonts w:hint="eastAsia"/>
          <w:sz w:val="28"/>
          <w:szCs w:val="28"/>
        </w:rPr>
      </w:pPr>
      <w:bookmarkStart w:id="4" w:name="_Toc15480"/>
      <w:r>
        <w:rPr>
          <w:rFonts w:hint="eastAsia"/>
          <w:sz w:val="28"/>
          <w:szCs w:val="28"/>
        </w:rPr>
        <w:t>4.1场地径流控制目标</w:t>
      </w:r>
      <w:bookmarkEnd w:id="4"/>
    </w:p>
    <w:p>
      <w:pPr>
        <w:keepNext w:val="0"/>
        <w:keepLines w:val="0"/>
        <w:pageBreakBefore w:val="0"/>
        <w:widowControl w:val="0"/>
        <w:numPr>
          <w:numId w:val="0"/>
        </w:numPr>
        <w:kinsoku/>
        <w:wordWrap/>
        <w:overflowPunct/>
        <w:topLinePunct w:val="0"/>
        <w:autoSpaceDE/>
        <w:autoSpaceDN/>
        <w:bidi w:val="0"/>
        <w:adjustRightInd/>
        <w:snapToGrid/>
        <w:spacing w:line="300" w:lineRule="auto"/>
        <w:ind w:leftChars="0" w:firstLine="560" w:firstLineChars="200"/>
        <w:textAlignment w:val="auto"/>
        <w:rPr>
          <w:rFonts w:hint="eastAsia"/>
          <w:sz w:val="28"/>
          <w:szCs w:val="28"/>
        </w:rPr>
      </w:pPr>
      <w:r>
        <w:rPr>
          <w:rFonts w:hint="eastAsia"/>
          <w:sz w:val="28"/>
          <w:szCs w:val="28"/>
        </w:rPr>
        <w:t>生态城市和绿色建筑作为国家绿色城镇化发展战略的重要基础容,对我国未来城市发展及人居环境改善有长远影响，宜按照《海绵城市建设技术指南》(试行）及《绿色建筑评价标准》GB/T50378-2014 的规定，进行低影响开发雨水系统设计，对年径流总量控制率进行控制(如下图)</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522" w:type="dxa"/>
          </w:tcPr>
          <w:p>
            <w:pPr>
              <w:keepNext w:val="0"/>
              <w:keepLines w:val="0"/>
              <w:pageBreakBefore w:val="0"/>
              <w:widowControl w:val="0"/>
              <w:numPr>
                <w:numId w:val="0"/>
              </w:numPr>
              <w:kinsoku/>
              <w:wordWrap/>
              <w:overflowPunct/>
              <w:topLinePunct w:val="0"/>
              <w:autoSpaceDE/>
              <w:autoSpaceDN/>
              <w:bidi w:val="0"/>
              <w:adjustRightInd/>
              <w:snapToGrid/>
              <w:spacing w:line="300" w:lineRule="auto"/>
              <w:textAlignment w:val="auto"/>
              <w:rPr>
                <w:rFonts w:hint="eastAsia"/>
                <w:sz w:val="28"/>
                <w:szCs w:val="28"/>
                <w:vertAlign w:val="baseline"/>
              </w:rPr>
            </w:pPr>
            <w:r>
              <w:drawing>
                <wp:inline distT="0" distB="0" distL="114300" distR="114300">
                  <wp:extent cx="5400040" cy="3930650"/>
                  <wp:effectExtent l="0" t="0" r="10160" b="127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pic:cNvPicPr>
                            <a:picLocks noChangeAspect="1"/>
                          </pic:cNvPicPr>
                        </pic:nvPicPr>
                        <pic:blipFill>
                          <a:blip r:embed="rId4"/>
                          <a:stretch>
                            <a:fillRect/>
                          </a:stretch>
                        </pic:blipFill>
                        <pic:spPr>
                          <a:xfrm>
                            <a:off x="0" y="0"/>
                            <a:ext cx="5400040" cy="3930650"/>
                          </a:xfrm>
                          <a:prstGeom prst="rect">
                            <a:avLst/>
                          </a:prstGeom>
                          <a:noFill/>
                          <a:ln>
                            <a:noFill/>
                          </a:ln>
                        </pic:spPr>
                      </pic:pic>
                    </a:graphicData>
                  </a:graphic>
                </wp:inline>
              </w:drawing>
            </w:r>
          </w:p>
        </w:tc>
      </w:tr>
    </w:tbl>
    <w:p>
      <w:pPr>
        <w:keepNext w:val="0"/>
        <w:keepLines w:val="0"/>
        <w:pageBreakBefore w:val="0"/>
        <w:widowControl w:val="0"/>
        <w:numPr>
          <w:numId w:val="0"/>
        </w:numPr>
        <w:kinsoku/>
        <w:wordWrap/>
        <w:overflowPunct/>
        <w:topLinePunct w:val="0"/>
        <w:autoSpaceDE/>
        <w:autoSpaceDN/>
        <w:bidi w:val="0"/>
        <w:adjustRightInd/>
        <w:snapToGrid/>
        <w:spacing w:line="300" w:lineRule="auto"/>
        <w:textAlignment w:val="auto"/>
        <w:rPr>
          <w:rFonts w:hint="eastAsia"/>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560" w:firstLineChars="200"/>
        <w:textAlignment w:val="auto"/>
        <w:rPr>
          <w:rFonts w:hint="eastAsia"/>
          <w:sz w:val="28"/>
          <w:szCs w:val="28"/>
        </w:rPr>
      </w:pPr>
      <w:r>
        <w:rPr>
          <w:rFonts w:hint="eastAsia"/>
          <w:sz w:val="28"/>
          <w:szCs w:val="28"/>
        </w:rPr>
        <w:t>理想状态下,径流总量控制目标应以开发建设后径流排放量接近开发建设前自然地貌时的径流排放量为标准。自然地貌往往按照绿地考虑，一般情况下，绿地的年径流总量外排率为15%-20%（相当于年雨量径流系数为0.15-0.20)，因此，借鉴发达国家实践经验，年径流总量控制率最佳为80%-85%。这一目标主要通过控制频率较高的中、小降雨事件来实现。以市为例，当年径流总量控制率为80%和85%时，对应的设计降雨量为27.3 mm和 33.6mm(详见表F2-1)，分别对应约0.5年一遇和1年一遇的1小时降雨量。</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560" w:firstLineChars="200"/>
        <w:textAlignment w:val="auto"/>
        <w:rPr>
          <w:rFonts w:hint="eastAsia"/>
          <w:sz w:val="28"/>
          <w:szCs w:val="28"/>
        </w:rPr>
      </w:pPr>
      <w:r>
        <w:rPr>
          <w:rFonts w:hint="eastAsia"/>
          <w:sz w:val="28"/>
          <w:szCs w:val="28"/>
        </w:rPr>
        <w:t>实践中，各地在确定年径流总量控制率时，需要综合考虑多方面因素。一方面，开发建设前的径流排放量与地表类型、土壤性质、地形地貌、植被覆盖率等因素有关，应通过分析综合确定开发前的径流排放量，并据此确定适宜的年径流总量控制率。另一方面，要考虑当地水资源禀赋情况、降雨规律、开发强度、低影响开发设施的利用效率以及经济发展水平等因素;具体到某个地块或建设项目的开发，要结合本区域建筑密度、绿地率及土地利用布局等因素确定。因此，综合考虑以上因素基础上，当不具备径流控制的空间条件或者经济成本过高时，可选择较低的年径流总量控制目标。同时，从维持区域水环境良性循环及经济合理性角度出发，径流总量控制目标也不是越高越好，雨水的过量收集、减排会导致原有水体的萎缩或影响水系统的良性循环;从经济性角度出发,当年径流总量控制率超过一定值时，投资效益会急剧下降，造成设施规模过大、投资浪费的问题。</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560" w:firstLineChars="200"/>
        <w:textAlignment w:val="auto"/>
        <w:rPr>
          <w:rFonts w:hint="eastAsia"/>
          <w:sz w:val="28"/>
          <w:szCs w:val="28"/>
        </w:rPr>
      </w:pPr>
      <w:r>
        <w:rPr>
          <w:rFonts w:hint="eastAsia"/>
          <w:sz w:val="28"/>
          <w:szCs w:val="28"/>
        </w:rPr>
        <w:t>《海绵城市建设技术指南》(试行）将大陆地区大致分为五个区，并给出了各区年径流总量控制率α的最低和最高限值，即Ⅰ区（ 85%≤(≤90%)、II 区( 80%≤α≤85%)、III区( 75%≤α≤85%)、IV区（ 70%≤a≤85%)、V区（ 60%≤a≤85%)，如下图所示。</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8522" w:type="dxa"/>
          </w:tcPr>
          <w:p>
            <w:pPr>
              <w:numPr>
                <w:numId w:val="0"/>
              </w:numPr>
              <w:spacing w:line="300" w:lineRule="auto"/>
              <w:rPr>
                <w:sz w:val="28"/>
                <w:szCs w:val="28"/>
                <w:vertAlign w:val="baseline"/>
              </w:rPr>
            </w:pPr>
            <w:r>
              <w:drawing>
                <wp:inline distT="0" distB="0" distL="114300" distR="114300">
                  <wp:extent cx="5295265" cy="3780155"/>
                  <wp:effectExtent l="0" t="0" r="8255" b="14605"/>
                  <wp:docPr id="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pic:cNvPicPr>
                            <a:picLocks noChangeAspect="1"/>
                          </pic:cNvPicPr>
                        </pic:nvPicPr>
                        <pic:blipFill>
                          <a:blip r:embed="rId5"/>
                          <a:stretch>
                            <a:fillRect/>
                          </a:stretch>
                        </pic:blipFill>
                        <pic:spPr>
                          <a:xfrm>
                            <a:off x="0" y="0"/>
                            <a:ext cx="5295265" cy="3780155"/>
                          </a:xfrm>
                          <a:prstGeom prst="rect">
                            <a:avLst/>
                          </a:prstGeom>
                          <a:noFill/>
                          <a:ln>
                            <a:noFill/>
                          </a:ln>
                        </pic:spPr>
                      </pic:pic>
                    </a:graphicData>
                  </a:graphic>
                </wp:inline>
              </w:drawing>
            </w:r>
          </w:p>
        </w:tc>
      </w:tr>
    </w:tbl>
    <w:p>
      <w:pPr>
        <w:numPr>
          <w:numId w:val="0"/>
        </w:numPr>
        <w:spacing w:line="300" w:lineRule="auto"/>
        <w:ind w:leftChars="0"/>
        <w:outlineLvl w:val="1"/>
        <w:rPr>
          <w:rFonts w:hint="eastAsia"/>
          <w:sz w:val="28"/>
          <w:szCs w:val="28"/>
        </w:rPr>
      </w:pPr>
      <w:bookmarkStart w:id="5" w:name="_Toc246"/>
      <w:r>
        <w:rPr>
          <w:rFonts w:hint="eastAsia"/>
          <w:sz w:val="28"/>
          <w:szCs w:val="28"/>
        </w:rPr>
        <w:t>4.2场地径流控制模式</w:t>
      </w:r>
      <w:bookmarkEnd w:id="5"/>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560" w:firstLineChars="200"/>
        <w:textAlignment w:val="auto"/>
        <w:rPr>
          <w:rFonts w:hint="eastAsia"/>
          <w:sz w:val="28"/>
          <w:szCs w:val="28"/>
        </w:rPr>
      </w:pPr>
      <w:r>
        <w:rPr>
          <w:rFonts w:hint="eastAsia"/>
          <w:sz w:val="28"/>
          <w:szCs w:val="28"/>
        </w:rPr>
        <w:t>径流总量控制目标的落实途径包括雨水的下渗减排和直接集蓄利用,主要技术措施有渗透技术和储存技术，设施以基于低影响开发理念的生态设施为主，包括透水铺装、下沉式绿地（狭义)、生物滞留设施、雨水罐等源头分散式的小型设施，及相对末端集中式的大型设施，如渗透塘、湿塘、雨水湿地、蓄水池及大型（多功能）调蓄设施等。径流控制模式包括场地控制和场地外控制，场地控制一般指在本地块实现径流总量控制目标，场地外控制一般指对于径流总量大、绿地及其他调蓄空间不足的地块，统筹周边地块或开发空间的调蓄空间共同承担其径流总量控制目标，如利用城市公共绿地消纳来自周边道路和地块的径流雨水。两种控制模式如下图所示，两者的主要区别如下表所示</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sz w:val="28"/>
                <w:szCs w:val="28"/>
                <w:vertAlign w:val="baseline"/>
              </w:rPr>
            </w:pPr>
            <w:r>
              <w:drawing>
                <wp:inline distT="0" distB="0" distL="114300" distR="114300">
                  <wp:extent cx="5400040" cy="1988820"/>
                  <wp:effectExtent l="0" t="0" r="10160" b="7620"/>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6"/>
                          <a:stretch>
                            <a:fillRect/>
                          </a:stretch>
                        </pic:blipFill>
                        <pic:spPr>
                          <a:xfrm>
                            <a:off x="0" y="0"/>
                            <a:ext cx="5400040" cy="198882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pPr>
            <w:r>
              <w:drawing>
                <wp:inline distT="0" distB="0" distL="114300" distR="114300">
                  <wp:extent cx="5320665" cy="2988310"/>
                  <wp:effectExtent l="0" t="0" r="13335" b="13970"/>
                  <wp:docPr id="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4"/>
                          <pic:cNvPicPr>
                            <a:picLocks noChangeAspect="1"/>
                          </pic:cNvPicPr>
                        </pic:nvPicPr>
                        <pic:blipFill>
                          <a:blip r:embed="rId7"/>
                          <a:stretch>
                            <a:fillRect/>
                          </a:stretch>
                        </pic:blipFill>
                        <pic:spPr>
                          <a:xfrm>
                            <a:off x="0" y="0"/>
                            <a:ext cx="5320665" cy="2988310"/>
                          </a:xfrm>
                          <a:prstGeom prst="rect">
                            <a:avLst/>
                          </a:prstGeom>
                          <a:noFill/>
                          <a:ln>
                            <a:noFill/>
                          </a:ln>
                        </pic:spPr>
                      </pic:pic>
                    </a:graphicData>
                  </a:graphic>
                </wp:inline>
              </w:drawing>
            </w:r>
          </w:p>
        </w:tc>
      </w:tr>
    </w:tbl>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1"/>
        <w:rPr>
          <w:rFonts w:hint="eastAsia"/>
          <w:sz w:val="28"/>
          <w:szCs w:val="28"/>
        </w:rPr>
      </w:pPr>
      <w:bookmarkStart w:id="6" w:name="_Toc9451"/>
      <w:r>
        <w:rPr>
          <w:rFonts w:hint="eastAsia"/>
          <w:sz w:val="28"/>
          <w:szCs w:val="28"/>
        </w:rPr>
        <w:t>4.3年径流总量控制率</w:t>
      </w:r>
      <w:bookmarkEnd w:id="6"/>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560" w:firstLineChars="200"/>
        <w:textAlignment w:val="auto"/>
        <w:rPr>
          <w:rFonts w:hint="eastAsia"/>
          <w:sz w:val="28"/>
          <w:szCs w:val="28"/>
        </w:rPr>
      </w:pPr>
      <w:r>
        <w:rPr>
          <w:rFonts w:hint="eastAsia"/>
          <w:sz w:val="28"/>
          <w:szCs w:val="28"/>
        </w:rPr>
        <w:t>年径流总量控制率定义为:通过自然和人工强化的入渗、滞蓄、调蓄和收集回用，场地累计一年得到控制的雨水量占全年总降雨量的比例。</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560" w:firstLineChars="200"/>
        <w:textAlignment w:val="auto"/>
        <w:rPr>
          <w:rFonts w:hint="eastAsia"/>
          <w:sz w:val="28"/>
          <w:szCs w:val="28"/>
        </w:rPr>
      </w:pPr>
      <w:r>
        <w:rPr>
          <w:rFonts w:hint="eastAsia"/>
          <w:sz w:val="28"/>
          <w:szCs w:val="28"/>
        </w:rPr>
        <w:t>本条意在对场地雨水合理地实施减排控制。雨水设计应协同场地、景观设计，采用屋顶绿化、透水铺装等措施降低地表径流量，同时利用下四式绿地、浅草沟﹑雨水花园等加强雨水入渗、降低雨水外排量，也可根据项目的用水需求收集雨水进行回用，实现减少场地雨水外排的目标。</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560" w:firstLineChars="200"/>
        <w:textAlignment w:val="auto"/>
        <w:rPr>
          <w:rFonts w:hint="eastAsia"/>
          <w:sz w:val="28"/>
          <w:szCs w:val="28"/>
        </w:rPr>
      </w:pPr>
      <w:r>
        <w:rPr>
          <w:rFonts w:hint="eastAsia"/>
          <w:sz w:val="28"/>
          <w:szCs w:val="28"/>
        </w:rPr>
        <w:t>年径流总量控制率为55%、70%时对应的降雨量(日值)为设计控制雨量。设计控制雨量的确定应通过统计学方法获得。将多年的降雨量日值按雨量大小分类，统计计算对应于某一降雨量(日值)的降雨总量(小于等于该降雨量的按真实雨量计算出降雨总量，大于该降雨量的按该降雨量计算出降雨总量，两者累计总和)在总降雨量中的比例，取比例为55%、70%(即年径流总量控制率）时对应的降雨量（日值）作为设计控制雨量。统计年限不同时，不同的年径流总量控制率对应的设计控制雨量会有差异。考虑气候变化的趋势和周期性，推荐采用不少于30年的降雨量数据进行统计计算，特殊情况除外。</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560" w:firstLineChars="200"/>
        <w:textAlignment w:val="auto"/>
        <w:rPr>
          <w:rFonts w:hint="eastAsia"/>
          <w:sz w:val="28"/>
          <w:szCs w:val="28"/>
        </w:rPr>
      </w:pPr>
      <w:r>
        <w:rPr>
          <w:rFonts w:hint="eastAsia"/>
          <w:sz w:val="28"/>
          <w:szCs w:val="28"/>
        </w:rPr>
        <w:t>场地设计应合理评估和预测场地可能存在的水涝风险，尽量使场地雨水就地消纳或利用，防止径流外排到其他区域形成水涝和污染。径流总量控制同时包括雨水的减排和利用,实施过程中减排和利用的比例需依据场地的实际情况，通过合理的技术经济比较，来确定最优方案。</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560" w:firstLineChars="200"/>
        <w:textAlignment w:val="auto"/>
        <w:rPr>
          <w:rFonts w:hint="eastAsia"/>
          <w:sz w:val="28"/>
          <w:szCs w:val="28"/>
        </w:rPr>
      </w:pPr>
      <w:r>
        <w:rPr>
          <w:rFonts w:hint="eastAsia"/>
          <w:sz w:val="28"/>
          <w:szCs w:val="28"/>
        </w:rPr>
        <w:t>从区域角度看，雨水的过量收集会导致原有水体的萎缩或影响水系统的良性循环。要使硬化地面恢复到自然地貌的环境水平,最佳的雨水控制量应以雨水排放量接近自然地貌为标准，因此从经济性和维持区域性水环境的良性循环角度出发，径流的控制率也不宜过大而应有合适的量(除非具体项目有特殊的防洪排涝设计要求)。本条设定的年径流总量控制率不宜超过85%。</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560" w:firstLineChars="200"/>
        <w:textAlignment w:val="auto"/>
        <w:rPr>
          <w:rFonts w:hint="default" w:eastAsia="宋体"/>
          <w:sz w:val="28"/>
          <w:szCs w:val="28"/>
          <w:lang w:val="en-US" w:eastAsia="zh-CN"/>
        </w:rPr>
      </w:pPr>
      <w:r>
        <w:rPr>
          <w:rFonts w:hint="eastAsia"/>
          <w:sz w:val="28"/>
          <w:szCs w:val="28"/>
        </w:rPr>
        <w:t>设计时应根据年径流总量控制率对应的设计控制雨量来确定雨水设施规模和最终方案，有条件时，可通过相关雨水控制利用模型进行设计计算;也可采用简单计算方法，结合项目条件，用设计控制雨量乘以场地综合径流系数、总汇水面积来确定项目雨水设施总规模，再分别计算滞蓄、调蓄和收集回用等措施实现的控制容积，达到设计控制雨量对应的控制规模</w:t>
      </w:r>
      <w:r>
        <w:rPr>
          <w:rFonts w:hint="eastAsia"/>
          <w:sz w:val="28"/>
          <w:szCs w:val="28"/>
          <w:lang w:val="en-US" w:eastAsia="zh-CN"/>
        </w:rPr>
        <w:t>要求，即达标。</w:t>
      </w:r>
    </w:p>
    <w:p>
      <w:pPr>
        <w:numPr>
          <w:ilvl w:val="0"/>
          <w:numId w:val="1"/>
        </w:numPr>
        <w:spacing w:line="300" w:lineRule="auto"/>
        <w:ind w:left="360" w:hanging="360"/>
        <w:outlineLvl w:val="0"/>
        <w:rPr>
          <w:rFonts w:hint="eastAsia"/>
          <w:sz w:val="28"/>
          <w:szCs w:val="28"/>
        </w:rPr>
      </w:pPr>
      <w:bookmarkStart w:id="7" w:name="_Toc8046"/>
      <w:r>
        <w:rPr>
          <w:rFonts w:hint="eastAsia"/>
          <w:sz w:val="28"/>
          <w:szCs w:val="28"/>
        </w:rPr>
        <w:t>场地年径流总量控制率计算</w:t>
      </w:r>
      <w:bookmarkEnd w:id="7"/>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1"/>
        <w:rPr>
          <w:rFonts w:hint="eastAsia"/>
          <w:sz w:val="28"/>
          <w:szCs w:val="28"/>
        </w:rPr>
      </w:pPr>
      <w:bookmarkStart w:id="8" w:name="_Toc3244"/>
      <w:r>
        <w:rPr>
          <w:rFonts w:hint="eastAsia"/>
          <w:sz w:val="28"/>
          <w:szCs w:val="28"/>
        </w:rPr>
        <w:t>5.1场地控制雨量</w:t>
      </w:r>
      <w:bookmarkEnd w:id="8"/>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560" w:firstLineChars="200"/>
        <w:textAlignment w:val="auto"/>
        <w:rPr>
          <w:rFonts w:hint="eastAsia"/>
          <w:sz w:val="28"/>
          <w:szCs w:val="28"/>
        </w:rPr>
      </w:pPr>
      <w:r>
        <w:rPr>
          <w:rFonts w:hint="eastAsia"/>
          <w:sz w:val="28"/>
          <w:szCs w:val="28"/>
        </w:rPr>
        <w:t>场地年径流总量控制率对应的设计控制雨量如下表，按年径流总量控制率55%进行控制: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560" w:firstLineChars="200"/>
        <w:textAlignment w:val="auto"/>
        <w:rPr>
          <w:rFonts w:hint="eastAsia"/>
          <w:sz w:val="28"/>
          <w:szCs w:val="28"/>
        </w:rPr>
      </w:pPr>
      <w:r>
        <w:rPr>
          <w:rFonts w:hint="eastAsia"/>
          <w:sz w:val="28"/>
          <w:szCs w:val="28"/>
        </w:rPr>
        <w:t>场地控制雨量=场地面积*设计控制雨量/1000=236.127m3。</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sz w:val="28"/>
                <w:szCs w:val="28"/>
                <w:vertAlign w:val="baseline"/>
              </w:rPr>
            </w:pPr>
            <w:r>
              <w:drawing>
                <wp:inline distT="0" distB="0" distL="114300" distR="114300">
                  <wp:extent cx="5283835" cy="864235"/>
                  <wp:effectExtent l="0" t="0" r="4445" b="4445"/>
                  <wp:docPr id="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5"/>
                          <pic:cNvPicPr>
                            <a:picLocks noChangeAspect="1"/>
                          </pic:cNvPicPr>
                        </pic:nvPicPr>
                        <pic:blipFill>
                          <a:blip r:embed="rId8"/>
                          <a:stretch>
                            <a:fillRect/>
                          </a:stretch>
                        </pic:blipFill>
                        <pic:spPr>
                          <a:xfrm>
                            <a:off x="0" y="0"/>
                            <a:ext cx="5283835" cy="864235"/>
                          </a:xfrm>
                          <a:prstGeom prst="rect">
                            <a:avLst/>
                          </a:prstGeom>
                          <a:noFill/>
                          <a:ln>
                            <a:noFill/>
                          </a:ln>
                        </pic:spPr>
                      </pic:pic>
                    </a:graphicData>
                  </a:graphic>
                </wp:inline>
              </w:drawing>
            </w:r>
          </w:p>
        </w:tc>
      </w:tr>
    </w:tbl>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1"/>
        <w:rPr>
          <w:rFonts w:hint="eastAsia"/>
          <w:sz w:val="28"/>
          <w:szCs w:val="28"/>
        </w:rPr>
      </w:pPr>
      <w:bookmarkStart w:id="9" w:name="_Toc16081"/>
      <w:r>
        <w:rPr>
          <w:rFonts w:hint="eastAsia"/>
          <w:sz w:val="28"/>
          <w:szCs w:val="28"/>
        </w:rPr>
        <w:t>5.2雨量径流系数</w:t>
      </w:r>
      <w:bookmarkEnd w:id="9"/>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560" w:firstLineChars="200"/>
        <w:textAlignment w:val="auto"/>
        <w:rPr>
          <w:rFonts w:hint="eastAsia"/>
          <w:sz w:val="28"/>
          <w:szCs w:val="28"/>
        </w:rPr>
      </w:pPr>
      <w:r>
        <w:rPr>
          <w:rFonts w:hint="eastAsia"/>
          <w:sz w:val="28"/>
          <w:szCs w:val="28"/>
        </w:rPr>
        <w:t>综合雨量径流系数计算式如下:</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sz w:val="28"/>
                <w:szCs w:val="28"/>
                <w:vertAlign w:val="baseline"/>
              </w:rPr>
            </w:pPr>
            <w:r>
              <w:drawing>
                <wp:anchor distT="0" distB="0" distL="114300" distR="114300" simplePos="0" relativeHeight="251659264" behindDoc="0" locked="0" layoutInCell="1" allowOverlap="1">
                  <wp:simplePos x="0" y="0"/>
                  <wp:positionH relativeFrom="column">
                    <wp:posOffset>2100580</wp:posOffset>
                  </wp:positionH>
                  <wp:positionV relativeFrom="paragraph">
                    <wp:posOffset>68580</wp:posOffset>
                  </wp:positionV>
                  <wp:extent cx="1072515" cy="1440180"/>
                  <wp:effectExtent l="0" t="0" r="9525" b="7620"/>
                  <wp:wrapSquare wrapText="bothSides"/>
                  <wp:docPr id="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6"/>
                          <pic:cNvPicPr>
                            <a:picLocks noChangeAspect="1"/>
                          </pic:cNvPicPr>
                        </pic:nvPicPr>
                        <pic:blipFill>
                          <a:blip r:embed="rId9"/>
                          <a:stretch>
                            <a:fillRect/>
                          </a:stretch>
                        </pic:blipFill>
                        <pic:spPr>
                          <a:xfrm>
                            <a:off x="0" y="0"/>
                            <a:ext cx="1072515" cy="1440180"/>
                          </a:xfrm>
                          <a:prstGeom prst="rect">
                            <a:avLst/>
                          </a:prstGeom>
                          <a:noFill/>
                          <a:ln>
                            <a:noFill/>
                          </a:ln>
                        </pic:spPr>
                      </pic:pic>
                    </a:graphicData>
                  </a:graphic>
                </wp:anchor>
              </w:drawing>
            </w:r>
          </w:p>
        </w:tc>
      </w:tr>
    </w:tbl>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560" w:firstLineChars="200"/>
        <w:textAlignment w:val="auto"/>
        <w:rPr>
          <w:rFonts w:hint="eastAsia"/>
          <w:sz w:val="28"/>
          <w:szCs w:val="28"/>
        </w:rPr>
      </w:pPr>
      <w:r>
        <w:rPr>
          <w:rFonts w:hint="eastAsia"/>
          <w:sz w:val="28"/>
          <w:szCs w:val="28"/>
        </w:rPr>
        <w:t>式中:</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560" w:firstLineChars="200"/>
        <w:textAlignment w:val="auto"/>
        <w:rPr>
          <w:rFonts w:hint="eastAsia"/>
          <w:sz w:val="28"/>
          <w:szCs w:val="28"/>
        </w:rPr>
      </w:pPr>
      <w:r>
        <w:rPr>
          <w:rFonts w:hint="eastAsia"/>
          <w:sz w:val="28"/>
          <w:szCs w:val="28"/>
        </w:rPr>
        <w:t>n——下垫层数量;</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560" w:firstLineChars="200"/>
        <w:textAlignment w:val="auto"/>
        <w:rPr>
          <w:rFonts w:hint="eastAsia"/>
          <w:sz w:val="28"/>
          <w:szCs w:val="28"/>
        </w:rPr>
      </w:pPr>
      <w:r>
        <w:rPr>
          <w:rFonts w:hint="eastAsia"/>
          <w:sz w:val="28"/>
          <w:szCs w:val="28"/>
          <w:lang w:eastAsia="zh-CN"/>
        </w:rPr>
        <w:t>Φ</w:t>
      </w:r>
      <w:r>
        <w:rPr>
          <w:rFonts w:hint="eastAsia"/>
          <w:sz w:val="28"/>
          <w:szCs w:val="28"/>
          <w:vertAlign w:val="subscript"/>
          <w:lang w:val="en-US" w:eastAsia="zh-CN"/>
        </w:rPr>
        <w:t>i</w:t>
      </w:r>
      <w:r>
        <w:rPr>
          <w:rFonts w:hint="eastAsia"/>
          <w:sz w:val="28"/>
          <w:szCs w:val="28"/>
          <w:lang w:eastAsia="zh-CN"/>
        </w:rPr>
        <w:t>—</w:t>
      </w:r>
      <w:r>
        <w:rPr>
          <w:rFonts w:hint="eastAsia"/>
          <w:sz w:val="28"/>
          <w:szCs w:val="28"/>
        </w:rPr>
        <w:t>—径流系数;</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560" w:firstLineChars="200"/>
        <w:textAlignment w:val="auto"/>
        <w:rPr>
          <w:rFonts w:hint="eastAsia"/>
          <w:sz w:val="28"/>
          <w:szCs w:val="28"/>
        </w:rPr>
      </w:pPr>
      <w:r>
        <w:rPr>
          <w:rFonts w:hint="eastAsia"/>
          <w:sz w:val="28"/>
          <w:szCs w:val="28"/>
        </w:rPr>
        <w:t>F</w:t>
      </w:r>
      <w:r>
        <w:rPr>
          <w:rFonts w:hint="eastAsia"/>
          <w:sz w:val="28"/>
          <w:szCs w:val="28"/>
          <w:vertAlign w:val="subscript"/>
          <w:lang w:val="en-US" w:eastAsia="zh-CN"/>
        </w:rPr>
        <w:t>i</w:t>
      </w:r>
      <w:r>
        <w:rPr>
          <w:rFonts w:hint="eastAsia"/>
          <w:sz w:val="28"/>
          <w:szCs w:val="28"/>
        </w:rPr>
        <w:t>——下垫层面积，m2。</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560" w:firstLineChars="200"/>
        <w:textAlignment w:val="auto"/>
        <w:rPr>
          <w:rFonts w:hint="eastAsia"/>
          <w:sz w:val="28"/>
          <w:szCs w:val="28"/>
        </w:rPr>
      </w:pPr>
      <w:r>
        <w:rPr>
          <w:rFonts w:hint="eastAsia"/>
          <w:sz w:val="28"/>
          <w:szCs w:val="28"/>
        </w:rPr>
        <w:t>本项目各下垫层雨量径流系数及如下表所示:</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sz w:val="28"/>
                <w:szCs w:val="28"/>
                <w:vertAlign w:val="baseline"/>
              </w:rPr>
            </w:pPr>
            <w:r>
              <w:drawing>
                <wp:inline distT="0" distB="0" distL="114300" distR="114300">
                  <wp:extent cx="5332095" cy="1835785"/>
                  <wp:effectExtent l="0" t="0" r="1905" b="8255"/>
                  <wp:docPr id="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8"/>
                          <pic:cNvPicPr>
                            <a:picLocks noChangeAspect="1"/>
                          </pic:cNvPicPr>
                        </pic:nvPicPr>
                        <pic:blipFill>
                          <a:blip r:embed="rId10"/>
                          <a:stretch>
                            <a:fillRect/>
                          </a:stretch>
                        </pic:blipFill>
                        <pic:spPr>
                          <a:xfrm>
                            <a:off x="0" y="0"/>
                            <a:ext cx="5332095" cy="1835785"/>
                          </a:xfrm>
                          <a:prstGeom prst="rect">
                            <a:avLst/>
                          </a:prstGeom>
                          <a:noFill/>
                          <a:ln>
                            <a:noFill/>
                          </a:ln>
                        </pic:spPr>
                      </pic:pic>
                    </a:graphicData>
                  </a:graphic>
                </wp:inline>
              </w:drawing>
            </w:r>
          </w:p>
        </w:tc>
      </w:tr>
    </w:tbl>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1"/>
        <w:rPr>
          <w:rFonts w:hint="eastAsia"/>
          <w:sz w:val="28"/>
          <w:szCs w:val="28"/>
        </w:rPr>
      </w:pPr>
      <w:bookmarkStart w:id="10" w:name="_Toc19001"/>
      <w:r>
        <w:rPr>
          <w:rFonts w:hint="eastAsia"/>
          <w:sz w:val="28"/>
          <w:szCs w:val="28"/>
        </w:rPr>
        <w:t>5.3雨水控制量</w:t>
      </w:r>
      <w:bookmarkEnd w:id="10"/>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560" w:firstLineChars="200"/>
        <w:textAlignment w:val="auto"/>
        <w:rPr>
          <w:rFonts w:hint="eastAsia"/>
          <w:sz w:val="28"/>
          <w:szCs w:val="28"/>
        </w:rPr>
      </w:pPr>
      <w:r>
        <w:rPr>
          <w:rFonts w:hint="eastAsia"/>
          <w:sz w:val="28"/>
          <w:szCs w:val="28"/>
        </w:rPr>
        <w:t>入渗控制雨量采用容积法进行计算:</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560" w:firstLineChars="200"/>
        <w:jc w:val="center"/>
        <w:textAlignment w:val="auto"/>
        <w:rPr>
          <w:rFonts w:hint="eastAsia"/>
          <w:sz w:val="28"/>
          <w:szCs w:val="28"/>
        </w:rPr>
      </w:pPr>
      <w:r>
        <w:rPr>
          <w:rFonts w:hint="eastAsia"/>
          <w:sz w:val="28"/>
          <w:szCs w:val="28"/>
        </w:rPr>
        <w:t>v =(1 -</w:t>
      </w:r>
      <w:r>
        <w:rPr>
          <w:rFonts w:hint="eastAsia" w:eastAsia="宋体"/>
          <w:sz w:val="28"/>
          <w:szCs w:val="28"/>
          <w:lang w:eastAsia="zh-CN"/>
        </w:rPr>
        <w:t>Φ</w:t>
      </w:r>
      <w:r>
        <w:rPr>
          <w:rFonts w:hint="eastAsia"/>
          <w:sz w:val="28"/>
          <w:szCs w:val="28"/>
        </w:rPr>
        <w:t>)HF/1000</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560" w:firstLineChars="200"/>
        <w:textAlignment w:val="auto"/>
        <w:rPr>
          <w:rFonts w:hint="eastAsia"/>
          <w:sz w:val="28"/>
          <w:szCs w:val="28"/>
        </w:rPr>
      </w:pPr>
      <w:r>
        <w:rPr>
          <w:rFonts w:hint="eastAsia"/>
          <w:sz w:val="28"/>
          <w:szCs w:val="28"/>
        </w:rPr>
        <w:t>式中:</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560" w:firstLineChars="200"/>
        <w:textAlignment w:val="auto"/>
        <w:rPr>
          <w:rFonts w:hint="eastAsia"/>
          <w:sz w:val="28"/>
          <w:szCs w:val="28"/>
        </w:rPr>
      </w:pPr>
      <w:r>
        <w:rPr>
          <w:rFonts w:hint="eastAsia"/>
          <w:sz w:val="28"/>
          <w:szCs w:val="28"/>
        </w:rPr>
        <w:t>V——入渗控制雨量，</w:t>
      </w:r>
      <w:r>
        <w:rPr>
          <w:rFonts w:hint="eastAsia"/>
          <w:sz w:val="28"/>
          <w:szCs w:val="28"/>
          <w:lang w:val="en-US" w:eastAsia="zh-CN"/>
        </w:rPr>
        <w:t>m³</w:t>
      </w:r>
      <w:r>
        <w:rPr>
          <w:rFonts w:hint="eastAsia"/>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560" w:firstLineChars="200"/>
        <w:textAlignment w:val="auto"/>
        <w:rPr>
          <w:rFonts w:hint="eastAsia"/>
          <w:sz w:val="28"/>
          <w:szCs w:val="28"/>
        </w:rPr>
      </w:pPr>
      <w:r>
        <w:rPr>
          <w:rFonts w:hint="eastAsia"/>
          <w:sz w:val="28"/>
          <w:szCs w:val="28"/>
        </w:rPr>
        <w:t>H——设计降雨量，mm;</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560" w:firstLineChars="200"/>
        <w:textAlignment w:val="auto"/>
        <w:rPr>
          <w:rFonts w:hint="eastAsia"/>
          <w:sz w:val="28"/>
          <w:szCs w:val="28"/>
        </w:rPr>
      </w:pPr>
      <w:r>
        <w:rPr>
          <w:rFonts w:hint="eastAsia" w:eastAsia="宋体"/>
          <w:sz w:val="28"/>
          <w:szCs w:val="28"/>
          <w:lang w:eastAsia="zh-CN"/>
        </w:rPr>
        <w:t>Φ</w:t>
      </w:r>
      <w:r>
        <w:rPr>
          <w:rFonts w:hint="eastAsia"/>
          <w:sz w:val="28"/>
          <w:szCs w:val="28"/>
        </w:rPr>
        <w:t>——综合雨量径流系数;</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560" w:firstLineChars="200"/>
        <w:textAlignment w:val="auto"/>
        <w:rPr>
          <w:rFonts w:hint="eastAsia"/>
          <w:sz w:val="28"/>
          <w:szCs w:val="28"/>
        </w:rPr>
      </w:pPr>
      <w:r>
        <w:rPr>
          <w:rFonts w:hint="eastAsia"/>
          <w:sz w:val="28"/>
          <w:szCs w:val="28"/>
        </w:rPr>
        <w:t>F——场地面积，m2。</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560" w:firstLineChars="200"/>
        <w:textAlignment w:val="auto"/>
        <w:rPr>
          <w:rFonts w:hint="eastAsia"/>
          <w:sz w:val="28"/>
          <w:szCs w:val="28"/>
        </w:rPr>
      </w:pPr>
      <w:r>
        <w:rPr>
          <w:rFonts w:hint="eastAsia"/>
          <w:sz w:val="28"/>
          <w:szCs w:val="28"/>
        </w:rPr>
        <w:t>经计算，入渗控制雨量为352.17m3。</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1"/>
        <w:rPr>
          <w:rFonts w:hint="eastAsia"/>
          <w:sz w:val="28"/>
          <w:szCs w:val="28"/>
        </w:rPr>
      </w:pPr>
      <w:bookmarkStart w:id="11" w:name="_Toc21542"/>
      <w:r>
        <w:rPr>
          <w:rFonts w:hint="eastAsia"/>
          <w:sz w:val="28"/>
          <w:szCs w:val="28"/>
        </w:rPr>
        <w:t>5.4径流控制率</w:t>
      </w:r>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560" w:firstLineChars="200"/>
        <w:textAlignment w:val="auto"/>
        <w:rPr>
          <w:rFonts w:hint="eastAsia"/>
          <w:sz w:val="28"/>
          <w:szCs w:val="28"/>
        </w:rPr>
      </w:pPr>
      <w:r>
        <w:rPr>
          <w:rFonts w:hint="eastAsia"/>
          <w:sz w:val="28"/>
          <w:szCs w:val="28"/>
        </w:rPr>
        <w:t>雨水控制总量=入渗控制雨量+&gt;雨水控制措施的雨水控制量得到的计算结果如下表，其雨水控制总量小于场地控制雨量。</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560" w:firstLineChars="200"/>
        <w:jc w:val="left"/>
        <w:textAlignment w:val="auto"/>
        <w:rPr>
          <w:rFonts w:hint="eastAsia"/>
          <w:sz w:val="28"/>
          <w:szCs w:val="28"/>
        </w:rPr>
      </w:pPr>
      <w:r>
        <w:rPr>
          <w:rFonts w:hint="eastAsia"/>
          <w:sz w:val="28"/>
          <w:szCs w:val="28"/>
          <w:lang w:val="en-US" w:eastAsia="zh-CN"/>
        </w:rPr>
        <w:t>径流控制率</w:t>
      </w:r>
      <w:r>
        <w:rPr>
          <w:rFonts w:hint="eastAsia"/>
          <w:sz w:val="28"/>
          <w:szCs w:val="28"/>
        </w:rPr>
        <w:t>= ((0.7-0.15）* (352.17-236.12)/ (416.27-236.12))+0.55=0.647</w:t>
      </w:r>
    </w:p>
    <w:p>
      <w:pPr>
        <w:numPr>
          <w:ilvl w:val="0"/>
          <w:numId w:val="1"/>
        </w:numPr>
        <w:spacing w:line="300" w:lineRule="auto"/>
        <w:ind w:left="360" w:hanging="360"/>
        <w:outlineLvl w:val="0"/>
        <w:rPr>
          <w:rFonts w:hint="eastAsia"/>
          <w:sz w:val="28"/>
          <w:szCs w:val="28"/>
        </w:rPr>
      </w:pPr>
      <w:bookmarkStart w:id="12" w:name="_Toc15582"/>
      <w:r>
        <w:rPr>
          <w:rFonts w:hint="eastAsia"/>
          <w:sz w:val="28"/>
          <w:szCs w:val="28"/>
        </w:rPr>
        <w:t>结论</w:t>
      </w:r>
      <w:bookmarkEnd w:id="12"/>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560" w:firstLineChars="200"/>
        <w:textAlignment w:val="auto"/>
        <w:rPr>
          <w:rFonts w:hint="eastAsia"/>
          <w:sz w:val="28"/>
          <w:szCs w:val="28"/>
        </w:rPr>
      </w:pPr>
      <w:r>
        <w:rPr>
          <w:rFonts w:hint="eastAsia"/>
          <w:sz w:val="28"/>
          <w:szCs w:val="28"/>
        </w:rPr>
        <w:t>根据《绿色建筑评价标准》GB50378-2014第4.2.14 条:“合理规划地表与屋面雨水径流，对场地雨水实施外排总量控制，评价总分值为6分。其场地年径流总量控制率达到55%，得3分;达到70%，得6分”。其场地年径流总量控制率达到64.7%，得3分。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sz w:val="28"/>
          <w:szCs w:val="28"/>
        </w:rPr>
      </w:pPr>
    </w:p>
    <w:p>
      <w:pPr>
        <w:spacing w:line="300" w:lineRule="auto"/>
        <w:ind w:firstLine="560" w:firstLineChars="200"/>
        <w:rPr>
          <w:sz w:val="28"/>
          <w:szCs w:val="28"/>
        </w:rPr>
      </w:pPr>
      <w:r>
        <w:rPr>
          <w:sz w:val="28"/>
          <w:szCs w:val="28"/>
        </w:rPr>
        <w:t xml:space="preserve">  </w:t>
      </w:r>
    </w:p>
    <w:p>
      <w:pPr>
        <w:spacing w:line="300" w:lineRule="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C47387"/>
    <w:multiLevelType w:val="multilevel"/>
    <w:tmpl w:val="77C4738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A7ACB"/>
    <w:rsid w:val="00000D4F"/>
    <w:rsid w:val="000040DB"/>
    <w:rsid w:val="0001158B"/>
    <w:rsid w:val="000138D6"/>
    <w:rsid w:val="00021818"/>
    <w:rsid w:val="00022A90"/>
    <w:rsid w:val="00023B6E"/>
    <w:rsid w:val="00025F7D"/>
    <w:rsid w:val="00033493"/>
    <w:rsid w:val="00034F2E"/>
    <w:rsid w:val="00040832"/>
    <w:rsid w:val="00040C78"/>
    <w:rsid w:val="000419B9"/>
    <w:rsid w:val="00042633"/>
    <w:rsid w:val="000517DC"/>
    <w:rsid w:val="00060BFB"/>
    <w:rsid w:val="00063BA5"/>
    <w:rsid w:val="00064629"/>
    <w:rsid w:val="00066E9E"/>
    <w:rsid w:val="00071E7B"/>
    <w:rsid w:val="00073AB4"/>
    <w:rsid w:val="00074FD9"/>
    <w:rsid w:val="00080D8A"/>
    <w:rsid w:val="00090728"/>
    <w:rsid w:val="000A124A"/>
    <w:rsid w:val="000A6E4F"/>
    <w:rsid w:val="000A7277"/>
    <w:rsid w:val="000B25ED"/>
    <w:rsid w:val="000B2C28"/>
    <w:rsid w:val="000B54C6"/>
    <w:rsid w:val="000B5D69"/>
    <w:rsid w:val="000C286B"/>
    <w:rsid w:val="000D14C7"/>
    <w:rsid w:val="000D2188"/>
    <w:rsid w:val="000D243A"/>
    <w:rsid w:val="000D2E8E"/>
    <w:rsid w:val="000E645B"/>
    <w:rsid w:val="000E6942"/>
    <w:rsid w:val="000F105A"/>
    <w:rsid w:val="000F3829"/>
    <w:rsid w:val="000F4CDA"/>
    <w:rsid w:val="001036F8"/>
    <w:rsid w:val="001053E2"/>
    <w:rsid w:val="00124D48"/>
    <w:rsid w:val="00126B70"/>
    <w:rsid w:val="00131E1E"/>
    <w:rsid w:val="00134179"/>
    <w:rsid w:val="00136707"/>
    <w:rsid w:val="001376D6"/>
    <w:rsid w:val="001432E0"/>
    <w:rsid w:val="0014549B"/>
    <w:rsid w:val="0015797C"/>
    <w:rsid w:val="00157E3C"/>
    <w:rsid w:val="001618FD"/>
    <w:rsid w:val="00173925"/>
    <w:rsid w:val="00174FA3"/>
    <w:rsid w:val="00186ADC"/>
    <w:rsid w:val="001879AF"/>
    <w:rsid w:val="00192179"/>
    <w:rsid w:val="00192396"/>
    <w:rsid w:val="0019318F"/>
    <w:rsid w:val="001A1F8A"/>
    <w:rsid w:val="001A62D3"/>
    <w:rsid w:val="001A7ACB"/>
    <w:rsid w:val="001B2DF7"/>
    <w:rsid w:val="001B32D0"/>
    <w:rsid w:val="001B7B57"/>
    <w:rsid w:val="001C01F6"/>
    <w:rsid w:val="001C0F56"/>
    <w:rsid w:val="001D359E"/>
    <w:rsid w:val="001D3C75"/>
    <w:rsid w:val="001D75DF"/>
    <w:rsid w:val="001E126F"/>
    <w:rsid w:val="001E3C56"/>
    <w:rsid w:val="00203A77"/>
    <w:rsid w:val="00210E92"/>
    <w:rsid w:val="0021214E"/>
    <w:rsid w:val="002130B1"/>
    <w:rsid w:val="00213B14"/>
    <w:rsid w:val="00214D88"/>
    <w:rsid w:val="002170C1"/>
    <w:rsid w:val="002251C7"/>
    <w:rsid w:val="00225EDA"/>
    <w:rsid w:val="00231FAD"/>
    <w:rsid w:val="00232E3E"/>
    <w:rsid w:val="0023349C"/>
    <w:rsid w:val="00242A9D"/>
    <w:rsid w:val="0024730A"/>
    <w:rsid w:val="002513B3"/>
    <w:rsid w:val="00251C63"/>
    <w:rsid w:val="00253BDC"/>
    <w:rsid w:val="00254D3C"/>
    <w:rsid w:val="00263CA5"/>
    <w:rsid w:val="00273C7B"/>
    <w:rsid w:val="00276648"/>
    <w:rsid w:val="00276F7A"/>
    <w:rsid w:val="00282F48"/>
    <w:rsid w:val="00293353"/>
    <w:rsid w:val="00294A6E"/>
    <w:rsid w:val="00294CC7"/>
    <w:rsid w:val="002A1246"/>
    <w:rsid w:val="002A4ACD"/>
    <w:rsid w:val="002B7200"/>
    <w:rsid w:val="002C2F80"/>
    <w:rsid w:val="002C40D1"/>
    <w:rsid w:val="002C4B8A"/>
    <w:rsid w:val="002D2F3F"/>
    <w:rsid w:val="002F39D9"/>
    <w:rsid w:val="002F53F0"/>
    <w:rsid w:val="00311BCF"/>
    <w:rsid w:val="00312A4B"/>
    <w:rsid w:val="003157FD"/>
    <w:rsid w:val="00325F55"/>
    <w:rsid w:val="00331BFC"/>
    <w:rsid w:val="00337CB5"/>
    <w:rsid w:val="00342AA9"/>
    <w:rsid w:val="003654E0"/>
    <w:rsid w:val="00366DAB"/>
    <w:rsid w:val="00372669"/>
    <w:rsid w:val="00376160"/>
    <w:rsid w:val="0038312A"/>
    <w:rsid w:val="00384C73"/>
    <w:rsid w:val="00390259"/>
    <w:rsid w:val="00393F66"/>
    <w:rsid w:val="00397819"/>
    <w:rsid w:val="003A2744"/>
    <w:rsid w:val="003A43F6"/>
    <w:rsid w:val="003B38AE"/>
    <w:rsid w:val="003B3BBA"/>
    <w:rsid w:val="003B74AD"/>
    <w:rsid w:val="003C0AE9"/>
    <w:rsid w:val="003C178A"/>
    <w:rsid w:val="003C7166"/>
    <w:rsid w:val="003D3DFF"/>
    <w:rsid w:val="003D7699"/>
    <w:rsid w:val="003F2097"/>
    <w:rsid w:val="00400952"/>
    <w:rsid w:val="00401017"/>
    <w:rsid w:val="00402C35"/>
    <w:rsid w:val="004041F0"/>
    <w:rsid w:val="00405EA8"/>
    <w:rsid w:val="00423138"/>
    <w:rsid w:val="00432355"/>
    <w:rsid w:val="00437191"/>
    <w:rsid w:val="004406A2"/>
    <w:rsid w:val="00445E9D"/>
    <w:rsid w:val="004478BC"/>
    <w:rsid w:val="00450176"/>
    <w:rsid w:val="00454A09"/>
    <w:rsid w:val="004550C0"/>
    <w:rsid w:val="0046389B"/>
    <w:rsid w:val="00477037"/>
    <w:rsid w:val="0048294C"/>
    <w:rsid w:val="00484CF0"/>
    <w:rsid w:val="00484E6B"/>
    <w:rsid w:val="004850CC"/>
    <w:rsid w:val="00496EF5"/>
    <w:rsid w:val="004974A2"/>
    <w:rsid w:val="004A197A"/>
    <w:rsid w:val="004A21BF"/>
    <w:rsid w:val="004A30F1"/>
    <w:rsid w:val="004A5A43"/>
    <w:rsid w:val="004B09C9"/>
    <w:rsid w:val="004B2C8A"/>
    <w:rsid w:val="004B426F"/>
    <w:rsid w:val="004D1077"/>
    <w:rsid w:val="004D1F0C"/>
    <w:rsid w:val="004D6868"/>
    <w:rsid w:val="004E0941"/>
    <w:rsid w:val="004E0F2F"/>
    <w:rsid w:val="004E1429"/>
    <w:rsid w:val="004E16AC"/>
    <w:rsid w:val="004E24B9"/>
    <w:rsid w:val="004E7D12"/>
    <w:rsid w:val="004F0150"/>
    <w:rsid w:val="004F0BE9"/>
    <w:rsid w:val="004F1B23"/>
    <w:rsid w:val="004F63FD"/>
    <w:rsid w:val="004F66A4"/>
    <w:rsid w:val="004F698B"/>
    <w:rsid w:val="00504355"/>
    <w:rsid w:val="00511A0D"/>
    <w:rsid w:val="00512FEA"/>
    <w:rsid w:val="005138D5"/>
    <w:rsid w:val="00522F83"/>
    <w:rsid w:val="005246F4"/>
    <w:rsid w:val="0052688C"/>
    <w:rsid w:val="00530238"/>
    <w:rsid w:val="005313FA"/>
    <w:rsid w:val="005327E6"/>
    <w:rsid w:val="0053491C"/>
    <w:rsid w:val="00537D3B"/>
    <w:rsid w:val="00540915"/>
    <w:rsid w:val="00542665"/>
    <w:rsid w:val="005428A8"/>
    <w:rsid w:val="0054493D"/>
    <w:rsid w:val="00553690"/>
    <w:rsid w:val="005566E8"/>
    <w:rsid w:val="0056559A"/>
    <w:rsid w:val="00565EA9"/>
    <w:rsid w:val="0057109E"/>
    <w:rsid w:val="0057733F"/>
    <w:rsid w:val="00580F2A"/>
    <w:rsid w:val="0058127D"/>
    <w:rsid w:val="0058284E"/>
    <w:rsid w:val="0058533A"/>
    <w:rsid w:val="00590529"/>
    <w:rsid w:val="00591147"/>
    <w:rsid w:val="0059441E"/>
    <w:rsid w:val="005A0D4C"/>
    <w:rsid w:val="005A2C2F"/>
    <w:rsid w:val="005A43E0"/>
    <w:rsid w:val="005C030F"/>
    <w:rsid w:val="005C1746"/>
    <w:rsid w:val="005D4993"/>
    <w:rsid w:val="005E05A6"/>
    <w:rsid w:val="005E0EF2"/>
    <w:rsid w:val="005F2C17"/>
    <w:rsid w:val="006143E4"/>
    <w:rsid w:val="00625FB2"/>
    <w:rsid w:val="006405DA"/>
    <w:rsid w:val="006431AB"/>
    <w:rsid w:val="0064480E"/>
    <w:rsid w:val="00646F01"/>
    <w:rsid w:val="00647925"/>
    <w:rsid w:val="006557EE"/>
    <w:rsid w:val="00657430"/>
    <w:rsid w:val="006621D2"/>
    <w:rsid w:val="006628C8"/>
    <w:rsid w:val="00667E40"/>
    <w:rsid w:val="006718AC"/>
    <w:rsid w:val="00672521"/>
    <w:rsid w:val="006816E8"/>
    <w:rsid w:val="006829CA"/>
    <w:rsid w:val="006860FE"/>
    <w:rsid w:val="006A43B2"/>
    <w:rsid w:val="006D1796"/>
    <w:rsid w:val="006D1810"/>
    <w:rsid w:val="006D50DC"/>
    <w:rsid w:val="006D59D3"/>
    <w:rsid w:val="006E4453"/>
    <w:rsid w:val="006E783E"/>
    <w:rsid w:val="006F1C59"/>
    <w:rsid w:val="006F24B5"/>
    <w:rsid w:val="006F38B8"/>
    <w:rsid w:val="006F5084"/>
    <w:rsid w:val="006F54AC"/>
    <w:rsid w:val="00707E7C"/>
    <w:rsid w:val="00716632"/>
    <w:rsid w:val="00720649"/>
    <w:rsid w:val="0072709F"/>
    <w:rsid w:val="0073352B"/>
    <w:rsid w:val="00737032"/>
    <w:rsid w:val="00745CA3"/>
    <w:rsid w:val="0075074D"/>
    <w:rsid w:val="00762F2A"/>
    <w:rsid w:val="00766406"/>
    <w:rsid w:val="0076685C"/>
    <w:rsid w:val="00772268"/>
    <w:rsid w:val="00786210"/>
    <w:rsid w:val="00795AFD"/>
    <w:rsid w:val="00795B36"/>
    <w:rsid w:val="007A0303"/>
    <w:rsid w:val="007A186B"/>
    <w:rsid w:val="007A1D1D"/>
    <w:rsid w:val="007B7107"/>
    <w:rsid w:val="007D1DB6"/>
    <w:rsid w:val="007E1678"/>
    <w:rsid w:val="007E1D00"/>
    <w:rsid w:val="007E66A9"/>
    <w:rsid w:val="007F036F"/>
    <w:rsid w:val="007F3FDB"/>
    <w:rsid w:val="007F67C6"/>
    <w:rsid w:val="007F68F8"/>
    <w:rsid w:val="008107B8"/>
    <w:rsid w:val="008130D6"/>
    <w:rsid w:val="00832541"/>
    <w:rsid w:val="008474D2"/>
    <w:rsid w:val="00855959"/>
    <w:rsid w:val="00860E66"/>
    <w:rsid w:val="00861071"/>
    <w:rsid w:val="00861EC0"/>
    <w:rsid w:val="008644F0"/>
    <w:rsid w:val="008813CD"/>
    <w:rsid w:val="00895956"/>
    <w:rsid w:val="008B2B25"/>
    <w:rsid w:val="008B3148"/>
    <w:rsid w:val="008B3B6C"/>
    <w:rsid w:val="008B47A9"/>
    <w:rsid w:val="008C3109"/>
    <w:rsid w:val="008C78BA"/>
    <w:rsid w:val="008D57D1"/>
    <w:rsid w:val="008D600B"/>
    <w:rsid w:val="008D7610"/>
    <w:rsid w:val="008E6F13"/>
    <w:rsid w:val="008F26D1"/>
    <w:rsid w:val="008F3D3D"/>
    <w:rsid w:val="008F68AC"/>
    <w:rsid w:val="00907E10"/>
    <w:rsid w:val="00910774"/>
    <w:rsid w:val="009152CF"/>
    <w:rsid w:val="009169B5"/>
    <w:rsid w:val="00927F42"/>
    <w:rsid w:val="0095499B"/>
    <w:rsid w:val="00956178"/>
    <w:rsid w:val="0095680C"/>
    <w:rsid w:val="00965806"/>
    <w:rsid w:val="0097189D"/>
    <w:rsid w:val="00982752"/>
    <w:rsid w:val="00985427"/>
    <w:rsid w:val="0099235B"/>
    <w:rsid w:val="00993ACB"/>
    <w:rsid w:val="00994F33"/>
    <w:rsid w:val="009A1F9C"/>
    <w:rsid w:val="009A75EE"/>
    <w:rsid w:val="009A7DC3"/>
    <w:rsid w:val="009B2D18"/>
    <w:rsid w:val="009B4F6E"/>
    <w:rsid w:val="009B6537"/>
    <w:rsid w:val="009C0F13"/>
    <w:rsid w:val="009C6492"/>
    <w:rsid w:val="009E0080"/>
    <w:rsid w:val="009E2B8A"/>
    <w:rsid w:val="009E73C2"/>
    <w:rsid w:val="009F2712"/>
    <w:rsid w:val="009F2F65"/>
    <w:rsid w:val="009F5C36"/>
    <w:rsid w:val="009F6CDB"/>
    <w:rsid w:val="00A00298"/>
    <w:rsid w:val="00A024D9"/>
    <w:rsid w:val="00A05414"/>
    <w:rsid w:val="00A06E75"/>
    <w:rsid w:val="00A07C3A"/>
    <w:rsid w:val="00A11967"/>
    <w:rsid w:val="00A17609"/>
    <w:rsid w:val="00A17D07"/>
    <w:rsid w:val="00A4219F"/>
    <w:rsid w:val="00A51D0A"/>
    <w:rsid w:val="00A53F33"/>
    <w:rsid w:val="00A57463"/>
    <w:rsid w:val="00A574CB"/>
    <w:rsid w:val="00A621A0"/>
    <w:rsid w:val="00A771ED"/>
    <w:rsid w:val="00A901C4"/>
    <w:rsid w:val="00A941A7"/>
    <w:rsid w:val="00A941CF"/>
    <w:rsid w:val="00A96167"/>
    <w:rsid w:val="00A968CC"/>
    <w:rsid w:val="00AA3204"/>
    <w:rsid w:val="00AA5150"/>
    <w:rsid w:val="00AA7C0E"/>
    <w:rsid w:val="00AB0A0E"/>
    <w:rsid w:val="00AB2E9B"/>
    <w:rsid w:val="00AB539F"/>
    <w:rsid w:val="00AB596A"/>
    <w:rsid w:val="00AC0A3B"/>
    <w:rsid w:val="00AC34FA"/>
    <w:rsid w:val="00AC4DCF"/>
    <w:rsid w:val="00AD0402"/>
    <w:rsid w:val="00AD6023"/>
    <w:rsid w:val="00AE0474"/>
    <w:rsid w:val="00AE04DA"/>
    <w:rsid w:val="00AE06AC"/>
    <w:rsid w:val="00AE38E0"/>
    <w:rsid w:val="00AE4720"/>
    <w:rsid w:val="00B01320"/>
    <w:rsid w:val="00B02790"/>
    <w:rsid w:val="00B116BC"/>
    <w:rsid w:val="00B14ED0"/>
    <w:rsid w:val="00B1574F"/>
    <w:rsid w:val="00B20AD2"/>
    <w:rsid w:val="00B219DD"/>
    <w:rsid w:val="00B21B76"/>
    <w:rsid w:val="00B257E5"/>
    <w:rsid w:val="00B33C28"/>
    <w:rsid w:val="00B34B24"/>
    <w:rsid w:val="00B56A6F"/>
    <w:rsid w:val="00B628AC"/>
    <w:rsid w:val="00B64F6A"/>
    <w:rsid w:val="00B74331"/>
    <w:rsid w:val="00B75560"/>
    <w:rsid w:val="00B7732B"/>
    <w:rsid w:val="00B82754"/>
    <w:rsid w:val="00B8742A"/>
    <w:rsid w:val="00B933EE"/>
    <w:rsid w:val="00BA1E36"/>
    <w:rsid w:val="00BA4046"/>
    <w:rsid w:val="00BA6017"/>
    <w:rsid w:val="00BA72F9"/>
    <w:rsid w:val="00BB0871"/>
    <w:rsid w:val="00BB1244"/>
    <w:rsid w:val="00BB3FB1"/>
    <w:rsid w:val="00BC2280"/>
    <w:rsid w:val="00BC56CE"/>
    <w:rsid w:val="00BC7A9A"/>
    <w:rsid w:val="00BD234C"/>
    <w:rsid w:val="00BD6A22"/>
    <w:rsid w:val="00BF63DB"/>
    <w:rsid w:val="00C03F66"/>
    <w:rsid w:val="00C04D25"/>
    <w:rsid w:val="00C109D8"/>
    <w:rsid w:val="00C137EF"/>
    <w:rsid w:val="00C15478"/>
    <w:rsid w:val="00C20525"/>
    <w:rsid w:val="00C20F4F"/>
    <w:rsid w:val="00C24CD0"/>
    <w:rsid w:val="00C26A18"/>
    <w:rsid w:val="00C45165"/>
    <w:rsid w:val="00C519B7"/>
    <w:rsid w:val="00C55A10"/>
    <w:rsid w:val="00C60282"/>
    <w:rsid w:val="00C60BEF"/>
    <w:rsid w:val="00C64F1F"/>
    <w:rsid w:val="00C730A3"/>
    <w:rsid w:val="00C74358"/>
    <w:rsid w:val="00C743A1"/>
    <w:rsid w:val="00C766B9"/>
    <w:rsid w:val="00C806F6"/>
    <w:rsid w:val="00C809CD"/>
    <w:rsid w:val="00C81802"/>
    <w:rsid w:val="00C830D9"/>
    <w:rsid w:val="00C83E53"/>
    <w:rsid w:val="00C845E4"/>
    <w:rsid w:val="00C90E90"/>
    <w:rsid w:val="00C9558E"/>
    <w:rsid w:val="00C96926"/>
    <w:rsid w:val="00CA27B5"/>
    <w:rsid w:val="00CA5E63"/>
    <w:rsid w:val="00CB13DF"/>
    <w:rsid w:val="00CC118D"/>
    <w:rsid w:val="00CC24AB"/>
    <w:rsid w:val="00CC2A70"/>
    <w:rsid w:val="00CD106F"/>
    <w:rsid w:val="00CE0D52"/>
    <w:rsid w:val="00CE38B5"/>
    <w:rsid w:val="00CE7FA5"/>
    <w:rsid w:val="00D05846"/>
    <w:rsid w:val="00D06FA4"/>
    <w:rsid w:val="00D12088"/>
    <w:rsid w:val="00D13B5D"/>
    <w:rsid w:val="00D1516A"/>
    <w:rsid w:val="00D1780E"/>
    <w:rsid w:val="00D21FB7"/>
    <w:rsid w:val="00D22071"/>
    <w:rsid w:val="00D236AF"/>
    <w:rsid w:val="00D34A75"/>
    <w:rsid w:val="00D37426"/>
    <w:rsid w:val="00D43667"/>
    <w:rsid w:val="00D4675D"/>
    <w:rsid w:val="00D46E4E"/>
    <w:rsid w:val="00D54173"/>
    <w:rsid w:val="00D60FFA"/>
    <w:rsid w:val="00D6435A"/>
    <w:rsid w:val="00D66557"/>
    <w:rsid w:val="00D72BF5"/>
    <w:rsid w:val="00D73AEE"/>
    <w:rsid w:val="00D7531E"/>
    <w:rsid w:val="00D94EBE"/>
    <w:rsid w:val="00DA5E8B"/>
    <w:rsid w:val="00DB204F"/>
    <w:rsid w:val="00DB6909"/>
    <w:rsid w:val="00DB7E01"/>
    <w:rsid w:val="00DC34B8"/>
    <w:rsid w:val="00DC566F"/>
    <w:rsid w:val="00DD608A"/>
    <w:rsid w:val="00DE5DA3"/>
    <w:rsid w:val="00DF3E0B"/>
    <w:rsid w:val="00DF4AF9"/>
    <w:rsid w:val="00DF5837"/>
    <w:rsid w:val="00DF7644"/>
    <w:rsid w:val="00E003C7"/>
    <w:rsid w:val="00E03533"/>
    <w:rsid w:val="00E10695"/>
    <w:rsid w:val="00E13A6C"/>
    <w:rsid w:val="00E16F51"/>
    <w:rsid w:val="00E23972"/>
    <w:rsid w:val="00E30FF8"/>
    <w:rsid w:val="00E357D2"/>
    <w:rsid w:val="00E363A9"/>
    <w:rsid w:val="00E37310"/>
    <w:rsid w:val="00E405A2"/>
    <w:rsid w:val="00E53560"/>
    <w:rsid w:val="00E60C43"/>
    <w:rsid w:val="00E82A47"/>
    <w:rsid w:val="00E8309B"/>
    <w:rsid w:val="00E872F6"/>
    <w:rsid w:val="00E911F2"/>
    <w:rsid w:val="00E93576"/>
    <w:rsid w:val="00E93885"/>
    <w:rsid w:val="00EB3504"/>
    <w:rsid w:val="00EB4FEC"/>
    <w:rsid w:val="00EC402A"/>
    <w:rsid w:val="00ED1AC8"/>
    <w:rsid w:val="00ED2837"/>
    <w:rsid w:val="00ED50AF"/>
    <w:rsid w:val="00ED7A92"/>
    <w:rsid w:val="00EE61B1"/>
    <w:rsid w:val="00EE69D9"/>
    <w:rsid w:val="00EF094E"/>
    <w:rsid w:val="00EF5AF2"/>
    <w:rsid w:val="00F1000E"/>
    <w:rsid w:val="00F2185F"/>
    <w:rsid w:val="00F239A7"/>
    <w:rsid w:val="00F247CA"/>
    <w:rsid w:val="00F262F5"/>
    <w:rsid w:val="00F37D0D"/>
    <w:rsid w:val="00F4166E"/>
    <w:rsid w:val="00F46EB8"/>
    <w:rsid w:val="00F501D6"/>
    <w:rsid w:val="00F50614"/>
    <w:rsid w:val="00F52E61"/>
    <w:rsid w:val="00F54409"/>
    <w:rsid w:val="00F60AC5"/>
    <w:rsid w:val="00F630DE"/>
    <w:rsid w:val="00F63ADF"/>
    <w:rsid w:val="00F64D08"/>
    <w:rsid w:val="00F80A91"/>
    <w:rsid w:val="00F816FE"/>
    <w:rsid w:val="00F823FD"/>
    <w:rsid w:val="00F854A9"/>
    <w:rsid w:val="00F87572"/>
    <w:rsid w:val="00F87C55"/>
    <w:rsid w:val="00F906F4"/>
    <w:rsid w:val="00FB560F"/>
    <w:rsid w:val="00FB7C07"/>
    <w:rsid w:val="00FC1473"/>
    <w:rsid w:val="00FC25EF"/>
    <w:rsid w:val="00FC5C47"/>
    <w:rsid w:val="00FC6A00"/>
    <w:rsid w:val="00FE2326"/>
    <w:rsid w:val="00FE5603"/>
    <w:rsid w:val="00FE674C"/>
    <w:rsid w:val="00FE745B"/>
    <w:rsid w:val="00FE7E60"/>
    <w:rsid w:val="00FF4356"/>
    <w:rsid w:val="00FF4D9D"/>
    <w:rsid w:val="0F0C7D39"/>
    <w:rsid w:val="0FDD5204"/>
    <w:rsid w:val="1C026047"/>
    <w:rsid w:val="1CB3587E"/>
    <w:rsid w:val="222A0634"/>
    <w:rsid w:val="23061F6C"/>
    <w:rsid w:val="2480073C"/>
    <w:rsid w:val="27AA55AC"/>
    <w:rsid w:val="2A202079"/>
    <w:rsid w:val="31785A41"/>
    <w:rsid w:val="34881380"/>
    <w:rsid w:val="38E527DC"/>
    <w:rsid w:val="39C66799"/>
    <w:rsid w:val="3B454F3F"/>
    <w:rsid w:val="43727992"/>
    <w:rsid w:val="474E4CB6"/>
    <w:rsid w:val="48047DCB"/>
    <w:rsid w:val="4B1C71F8"/>
    <w:rsid w:val="4CE64574"/>
    <w:rsid w:val="4EB175C0"/>
    <w:rsid w:val="50FA6026"/>
    <w:rsid w:val="52B224B3"/>
    <w:rsid w:val="542425E2"/>
    <w:rsid w:val="55F22608"/>
    <w:rsid w:val="5EA62897"/>
    <w:rsid w:val="5FBC5DC5"/>
    <w:rsid w:val="60F9667E"/>
    <w:rsid w:val="684A7D63"/>
    <w:rsid w:val="6E3B65FE"/>
    <w:rsid w:val="7197425F"/>
    <w:rsid w:val="77526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annotation text"/>
    <w:basedOn w:val="1"/>
    <w:link w:val="15"/>
    <w:uiPriority w:val="0"/>
    <w:pPr>
      <w:jc w:val="left"/>
    </w:pPr>
  </w:style>
  <w:style w:type="paragraph" w:styleId="5">
    <w:name w:val="Balloon Text"/>
    <w:basedOn w:val="1"/>
    <w:link w:val="17"/>
    <w:uiPriority w:val="0"/>
    <w:rPr>
      <w:sz w:val="18"/>
      <w:szCs w:val="18"/>
    </w:rPr>
  </w:style>
  <w:style w:type="paragraph" w:styleId="6">
    <w:name w:val="footer"/>
    <w:basedOn w:val="1"/>
    <w:link w:val="14"/>
    <w:uiPriority w:val="0"/>
    <w:pPr>
      <w:tabs>
        <w:tab w:val="center" w:pos="4153"/>
        <w:tab w:val="right" w:pos="8306"/>
      </w:tabs>
      <w:snapToGrid w:val="0"/>
      <w:jc w:val="left"/>
    </w:pPr>
    <w:rPr>
      <w:sz w:val="18"/>
      <w:szCs w:val="18"/>
    </w:rPr>
  </w:style>
  <w:style w:type="paragraph" w:styleId="7">
    <w:name w:val="header"/>
    <w:basedOn w:val="1"/>
    <w:link w:val="13"/>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6"/>
    <w:uiPriority w:val="0"/>
    <w:rPr>
      <w:b/>
      <w:bCs/>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uiPriority w:val="0"/>
    <w:rPr>
      <w:sz w:val="21"/>
      <w:szCs w:val="21"/>
    </w:rPr>
  </w:style>
  <w:style w:type="character" w:customStyle="1" w:styleId="13">
    <w:name w:val="页眉 Char"/>
    <w:link w:val="7"/>
    <w:qFormat/>
    <w:uiPriority w:val="99"/>
    <w:rPr>
      <w:kern w:val="2"/>
      <w:sz w:val="18"/>
      <w:szCs w:val="18"/>
    </w:rPr>
  </w:style>
  <w:style w:type="character" w:customStyle="1" w:styleId="14">
    <w:name w:val="页脚 Char"/>
    <w:link w:val="6"/>
    <w:uiPriority w:val="0"/>
    <w:rPr>
      <w:kern w:val="2"/>
      <w:sz w:val="18"/>
      <w:szCs w:val="18"/>
    </w:rPr>
  </w:style>
  <w:style w:type="character" w:customStyle="1" w:styleId="15">
    <w:name w:val="批注文字 Char"/>
    <w:link w:val="4"/>
    <w:qFormat/>
    <w:uiPriority w:val="0"/>
    <w:rPr>
      <w:kern w:val="2"/>
      <w:sz w:val="21"/>
      <w:szCs w:val="24"/>
    </w:rPr>
  </w:style>
  <w:style w:type="character" w:customStyle="1" w:styleId="16">
    <w:name w:val="批注主题 Char"/>
    <w:link w:val="8"/>
    <w:uiPriority w:val="0"/>
    <w:rPr>
      <w:b/>
      <w:bCs/>
      <w:kern w:val="2"/>
      <w:sz w:val="21"/>
      <w:szCs w:val="24"/>
    </w:rPr>
  </w:style>
  <w:style w:type="character" w:customStyle="1" w:styleId="17">
    <w:name w:val="批注框文本 Char"/>
    <w:link w:val="5"/>
    <w:qFormat/>
    <w:uiPriority w:val="0"/>
    <w:rPr>
      <w:kern w:val="2"/>
      <w:sz w:val="18"/>
      <w:szCs w:val="18"/>
    </w:rPr>
  </w:style>
  <w:style w:type="paragraph" w:styleId="18">
    <w:name w:val="List Paragraph"/>
    <w:basedOn w:val="1"/>
    <w:qFormat/>
    <w:uiPriority w:val="34"/>
    <w:pPr>
      <w:ind w:firstLine="420" w:firstLineChars="200"/>
    </w:pPr>
  </w:style>
  <w:style w:type="paragraph" w:customStyle="1" w:styleId="19">
    <w:name w:val="WPSOffice手动目录 1"/>
    <w:uiPriority w:val="0"/>
    <w:pPr>
      <w:ind w:leftChars="0"/>
    </w:pPr>
    <w:rPr>
      <w:sz w:val="20"/>
      <w:szCs w:val="20"/>
    </w:rPr>
  </w:style>
  <w:style w:type="paragraph" w:customStyle="1" w:styleId="20">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316</Words>
  <Characters>1806</Characters>
  <Lines>15</Lines>
  <Paragraphs>4</Paragraphs>
  <TotalTime>1</TotalTime>
  <ScaleCrop>false</ScaleCrop>
  <LinksUpToDate>false</LinksUpToDate>
  <CharactersWithSpaces>2118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2015-07-13T04:49:00Z</dcterms:created>
  <dc:creator>ThinkPad</dc:creator>
  <cp:lastModifiedBy>Vitamine✿</cp:lastModifiedBy>
  <cp:lastPrinted>2017-04-17T03:06:00Z</cp:lastPrinted>
  <dcterms:modified xsi:type="dcterms:W3CDTF">2022-03-10T06:14:33Z</dcterms:modified>
  <dc:title>雨水控制与利用施工说明</dc:title>
  <cp:revision>227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A69063570D564DE499F5C50CAB25922E</vt:lpwstr>
  </property>
</Properties>
</file>