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4"/>
        <w:ind w:left="790" w:right="790"/>
        <w:jc w:val="center"/>
        <w:rPr>
          <w:rFonts w:ascii="宋体" w:hAnsi="宋体" w:eastAsia="宋体"/>
        </w:rPr>
      </w:pPr>
    </w:p>
    <w:p>
      <w:pPr>
        <w:spacing w:before="234"/>
        <w:ind w:left="790" w:right="790"/>
        <w:jc w:val="center"/>
        <w:rPr>
          <w:rFonts w:ascii="宋体" w:hAnsi="宋体" w:eastAsia="宋体"/>
        </w:rPr>
      </w:pPr>
    </w:p>
    <w:p>
      <w:pPr>
        <w:spacing w:before="234"/>
        <w:ind w:left="790" w:right="790"/>
        <w:jc w:val="center"/>
        <w:rPr>
          <w:rFonts w:ascii="宋体" w:hAnsi="宋体" w:eastAsia="宋体"/>
        </w:rPr>
      </w:pPr>
    </w:p>
    <w:p>
      <w:pPr>
        <w:spacing w:before="234"/>
        <w:ind w:left="790" w:right="790"/>
        <w:jc w:val="center"/>
        <w:rPr>
          <w:rFonts w:asciiTheme="majorEastAsia" w:hAnsiTheme="majorEastAsia" w:eastAsiaTheme="majorEastAsia" w:cstheme="majorEastAsia"/>
          <w:sz w:val="36"/>
        </w:rPr>
      </w:pPr>
      <w:r>
        <w:rPr>
          <w:rFonts w:hint="eastAsia" w:asciiTheme="majorEastAsia" w:hAnsiTheme="majorEastAsia" w:eastAsiaTheme="majorEastAsia" w:cstheme="majorEastAsia"/>
          <w:sz w:val="36"/>
          <w:lang w:val="en-US" w:eastAsia="zh-CN"/>
        </w:rPr>
        <w:t>造绿赓青——3A逸廊白象居绿色社区设计</w:t>
      </w:r>
      <w:r>
        <w:rPr>
          <w:rFonts w:hint="eastAsia" w:asciiTheme="majorEastAsia" w:hAnsiTheme="majorEastAsia" w:eastAsiaTheme="majorEastAsia" w:cstheme="majorEastAsia"/>
          <w:sz w:val="36"/>
        </w:rPr>
        <w:t>项目</w:t>
      </w:r>
    </w:p>
    <w:p>
      <w:pPr>
        <w:pStyle w:val="5"/>
        <w:ind w:firstLine="400"/>
        <w:rPr>
          <w:rFonts w:ascii="Calibri"/>
          <w:sz w:val="20"/>
        </w:rPr>
      </w:pPr>
    </w:p>
    <w:p>
      <w:pPr>
        <w:ind w:right="790"/>
        <w:rPr>
          <w:rFonts w:ascii="黑体" w:eastAsia="黑体"/>
          <w:b/>
          <w:bCs/>
          <w:sz w:val="48"/>
        </w:rPr>
      </w:pPr>
    </w:p>
    <w:p>
      <w:pPr>
        <w:ind w:right="790"/>
        <w:jc w:val="center"/>
        <w:rPr>
          <w:rFonts w:ascii="黑体" w:eastAsia="黑体"/>
          <w:b/>
          <w:bCs/>
          <w:sz w:val="48"/>
        </w:rPr>
      </w:pPr>
      <w:r>
        <w:rPr>
          <w:rFonts w:hint="eastAsia" w:ascii="黑体" w:eastAsia="黑体"/>
          <w:b/>
          <w:bCs/>
          <w:sz w:val="48"/>
        </w:rPr>
        <w:t>水资源利用方案报告</w:t>
      </w: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pStyle w:val="5"/>
        <w:ind w:firstLine="60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北京绿建软件股份有限公司</w:t>
      </w:r>
    </w:p>
    <w:p>
      <w:pPr>
        <w:adjustRightInd w:val="0"/>
        <w:snapToGrid w:val="0"/>
        <w:spacing w:before="120"/>
        <w:jc w:val="center"/>
        <w:rPr>
          <w:rFonts w:ascii="微软雅黑" w:hAnsi="微软雅黑" w:eastAsia="微软雅黑"/>
          <w:sz w:val="24"/>
        </w:rPr>
      </w:pPr>
      <w:r>
        <w:rPr>
          <w:rFonts w:ascii="Times New Roman" w:hAnsi="Times New Roman" w:eastAsia="黑体" w:cs="Times New Roman"/>
          <w:sz w:val="30"/>
          <w:szCs w:val="30"/>
        </w:rPr>
        <w:t>202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黑体" w:cs="Times New Roman"/>
          <w:sz w:val="30"/>
          <w:szCs w:val="30"/>
        </w:rPr>
        <w:t xml:space="preserve"> 年 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3</w:t>
      </w:r>
      <w:bookmarkStart w:id="18" w:name="_GoBack"/>
      <w:bookmarkEnd w:id="18"/>
      <w:r>
        <w:rPr>
          <w:rFonts w:ascii="Times New Roman" w:hAnsi="Times New Roman" w:eastAsia="黑体" w:cs="Times New Roman"/>
          <w:sz w:val="30"/>
          <w:szCs w:val="30"/>
        </w:rPr>
        <w:t xml:space="preserve"> 月</w:t>
      </w:r>
    </w:p>
    <w:p>
      <w:pPr>
        <w:widowControl/>
        <w:jc w:val="left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1022984560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23"/>
            <w:jc w:val="center"/>
          </w:pPr>
          <w:r>
            <w:rPr>
              <w:lang w:val="zh-CN"/>
            </w:rPr>
            <w:t>目录</w:t>
          </w:r>
        </w:p>
        <w:p>
          <w:pPr>
            <w:pStyle w:val="9"/>
            <w:tabs>
              <w:tab w:val="right" w:leader="dot" w:pos="829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"_Toc61956665"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一、项目概况</w:t>
          </w:r>
          <w:r>
            <w:tab/>
          </w:r>
          <w:r>
            <w:fldChar w:fldCharType="begin"/>
          </w:r>
          <w:r>
            <w:instrText xml:space="preserve"> PAGEREF _Toc61956665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"_Toc61956666"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二、政策及环境分析</w:t>
          </w:r>
          <w:r>
            <w:tab/>
          </w:r>
          <w:r>
            <w:fldChar w:fldCharType="begin"/>
          </w:r>
          <w:r>
            <w:instrText xml:space="preserve"> PAGEREF _Toc61956666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"_Toc61956667"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2.1政策要求</w:t>
          </w:r>
          <w:r>
            <w:tab/>
          </w:r>
          <w:r>
            <w:fldChar w:fldCharType="begin"/>
          </w:r>
          <w:r>
            <w:instrText xml:space="preserve"> PAGEREF _Toc61956667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"_Toc61956668"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2.2水资源状况</w:t>
          </w:r>
          <w:r>
            <w:tab/>
          </w:r>
          <w:r>
            <w:fldChar w:fldCharType="begin"/>
          </w:r>
          <w:r>
            <w:instrText xml:space="preserve"> PAGEREF _Toc61956668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"_Toc61956669"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2.3气象资料</w:t>
          </w:r>
          <w:r>
            <w:tab/>
          </w:r>
          <w:r>
            <w:fldChar w:fldCharType="begin"/>
          </w:r>
          <w:r>
            <w:instrText xml:space="preserve"> PAGEREF _Toc61956669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"_Toc61956670"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三、用水量估算</w:t>
          </w:r>
          <w:r>
            <w:tab/>
          </w:r>
          <w:r>
            <w:fldChar w:fldCharType="begin"/>
          </w:r>
          <w:r>
            <w:instrText xml:space="preserve"> PAGEREF _Toc61956670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"_Toc61956671"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3.1用水定额</w:t>
          </w:r>
          <w:r>
            <w:tab/>
          </w:r>
          <w:r>
            <w:fldChar w:fldCharType="begin"/>
          </w:r>
          <w:r>
            <w:instrText xml:space="preserve"> PAGEREF _Toc61956671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"_Toc61956672"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3.2用水量估算</w:t>
          </w:r>
          <w:r>
            <w:tab/>
          </w:r>
          <w:r>
            <w:fldChar w:fldCharType="begin"/>
          </w:r>
          <w:r>
            <w:instrText xml:space="preserve"> PAGEREF _Toc61956672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"_Toc61956673"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4节水策略</w:t>
          </w:r>
          <w:r>
            <w:tab/>
          </w:r>
          <w:r>
            <w:fldChar w:fldCharType="begin"/>
          </w:r>
          <w:r>
            <w:instrText xml:space="preserve"> PAGEREF _Toc61956673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"_Toc61956674"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五、给排水系统设计方案</w:t>
          </w:r>
          <w:r>
            <w:tab/>
          </w:r>
          <w:r>
            <w:fldChar w:fldCharType="begin"/>
          </w:r>
          <w:r>
            <w:instrText xml:space="preserve"> PAGEREF _Toc61956674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"_Toc61956675"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5.1生活给水系统</w:t>
          </w:r>
          <w:r>
            <w:tab/>
          </w:r>
          <w:r>
            <w:fldChar w:fldCharType="begin"/>
          </w:r>
          <w:r>
            <w:instrText xml:space="preserve"> PAGEREF _Toc61956675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"_Toc61956676"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5.2生活排水系统</w:t>
          </w:r>
          <w:r>
            <w:tab/>
          </w:r>
          <w:r>
            <w:fldChar w:fldCharType="begin"/>
          </w:r>
          <w:r>
            <w:instrText xml:space="preserve"> PAGEREF _Toc61956676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"_Toc61956677"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5.3雨水排水系统</w:t>
          </w:r>
          <w:r>
            <w:tab/>
          </w:r>
          <w:r>
            <w:fldChar w:fldCharType="begin"/>
          </w:r>
          <w:r>
            <w:instrText xml:space="preserve"> PAGEREF _Toc61956677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"_Toc61956678"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5.4管材与配件</w:t>
          </w:r>
          <w:r>
            <w:tab/>
          </w:r>
          <w:r>
            <w:fldChar w:fldCharType="begin"/>
          </w:r>
          <w:r>
            <w:instrText xml:space="preserve"> PAGEREF _Toc61956678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"_Toc61956679"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5.5阀门及附件</w:t>
          </w:r>
          <w:r>
            <w:tab/>
          </w:r>
          <w:r>
            <w:fldChar w:fldCharType="begin"/>
          </w:r>
          <w:r>
            <w:instrText xml:space="preserve"> PAGEREF _Toc61956679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"_Toc61956680"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5.6卫生洁具及附件</w:t>
          </w:r>
          <w:r>
            <w:tab/>
          </w:r>
          <w:r>
            <w:fldChar w:fldCharType="begin"/>
          </w:r>
          <w:r>
            <w:instrText xml:space="preserve"> PAGEREF _Toc61956680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"_Toc61956681"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六、非传统水源利用方案</w:t>
          </w:r>
          <w:r>
            <w:tab/>
          </w:r>
          <w:r>
            <w:fldChar w:fldCharType="begin"/>
          </w:r>
          <w:r>
            <w:instrText xml:space="preserve"> PAGEREF _Toc61956681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"_Toc61956682" </w:instrText>
          </w:r>
          <w:r>
            <w:fldChar w:fldCharType="separate"/>
          </w:r>
          <w:r>
            <w:rPr>
              <w:rStyle w:val="14"/>
              <w:rFonts w:ascii="Times New Roman" w:hAnsi="Times New Roman" w:eastAsia="宋体"/>
            </w:rPr>
            <w:t>七、水量平衡</w:t>
          </w:r>
          <w:r>
            <w:tab/>
          </w:r>
          <w:r>
            <w:fldChar w:fldCharType="begin"/>
          </w:r>
          <w:r>
            <w:instrText xml:space="preserve"> PAGEREF _Toc61956682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br w:type="page"/>
      </w:r>
    </w:p>
    <w:p>
      <w:pPr>
        <w:pStyle w:val="3"/>
        <w:numPr>
          <w:ilvl w:val="0"/>
          <w:numId w:val="1"/>
        </w:numPr>
        <w:rPr>
          <w:rFonts w:ascii="Times New Roman" w:hAnsi="Times New Roman" w:eastAsia="宋体"/>
        </w:rPr>
      </w:pPr>
      <w:bookmarkStart w:id="0" w:name="_Toc61956665"/>
      <w:r>
        <w:rPr>
          <w:rFonts w:hint="eastAsia" w:ascii="Times New Roman" w:hAnsi="Times New Roman" w:eastAsia="宋体"/>
        </w:rPr>
        <w:t>项目概况</w:t>
      </w:r>
      <w:bookmarkEnd w:id="0"/>
    </w:p>
    <w:p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drawing>
          <wp:inline distT="0" distB="0" distL="114300" distR="114300">
            <wp:extent cx="5267325" cy="2543175"/>
            <wp:effectExtent l="0" t="0" r="5715" b="1905"/>
            <wp:docPr id="3" name="图片 3" descr="d5c82f1adc641767616c0c60b636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5c82f1adc641767616c0c60b636a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</w:rPr>
        <w:t>（项目位于</w:t>
      </w:r>
      <w:r>
        <w:rPr>
          <w:rFonts w:hint="eastAsia" w:ascii="Times New Roman" w:hAnsi="Times New Roman" w:eastAsia="宋体"/>
          <w:lang w:val="en-US" w:eastAsia="zh-CN"/>
        </w:rPr>
        <w:t>重庆市渝中区</w:t>
      </w:r>
      <w:r>
        <w:rPr>
          <w:rFonts w:hint="eastAsia" w:ascii="Times New Roman" w:hAnsi="Times New Roman" w:eastAsia="宋体"/>
        </w:rPr>
        <w:t>长江滨江路。该项目总用地面积为10128平方米，建筑面积为31460平方米，总户数290，总人数1015人 。地上18层，地上面积28314平米，地下面积3146平米。）</w:t>
      </w:r>
    </w:p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项目效果图</w:t>
      </w:r>
    </w:p>
    <w:p>
      <w:pPr>
        <w:widowControl/>
        <w:jc w:val="left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br w:type="page"/>
      </w:r>
    </w:p>
    <w:p>
      <w:pPr>
        <w:pStyle w:val="3"/>
        <w:numPr>
          <w:ilvl w:val="0"/>
          <w:numId w:val="1"/>
        </w:numPr>
        <w:rPr>
          <w:rFonts w:ascii="Times New Roman" w:hAnsi="Times New Roman" w:eastAsia="宋体"/>
        </w:rPr>
      </w:pPr>
      <w:bookmarkStart w:id="1" w:name="_Toc61956666"/>
      <w:r>
        <w:rPr>
          <w:rFonts w:hint="eastAsia" w:ascii="Times New Roman" w:hAnsi="Times New Roman" w:eastAsia="宋体"/>
        </w:rPr>
        <w:t>政策及环境分析</w:t>
      </w:r>
      <w:bookmarkEnd w:id="1"/>
    </w:p>
    <w:p>
      <w:pPr>
        <w:pStyle w:val="4"/>
        <w:rPr>
          <w:rFonts w:ascii="Times New Roman" w:hAnsi="Times New Roman" w:eastAsia="宋体"/>
        </w:rPr>
      </w:pPr>
      <w:bookmarkStart w:id="2" w:name="_Toc61956667"/>
      <w:r>
        <w:rPr>
          <w:rFonts w:hint="eastAsia" w:ascii="Times New Roman" w:hAnsi="Times New Roman" w:eastAsia="宋体"/>
        </w:rPr>
        <w:t>2.1政策要求</w:t>
      </w:r>
      <w:bookmarkEnd w:id="2"/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2021年12月，由市水利、发展改革、经济信息、城市管理、农业农村、机关事务等部门共同编制完成的《重庆市“十四五”节水型社会建设规划》（以下简称《规划》），经市节约用水联席会议审议通过并正式印发。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《规划》从水资源总量强度“双控”约束、节水工程“四大重点行业领域”、节水管理“五大关键环节”方面提出“十四五”期间节水38项重点任务。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hint="eastAsia" w:ascii="Times New Roman" w:hAnsi="Times New Roman" w:eastAsia="宋体"/>
          <w:sz w:val="24"/>
        </w:rPr>
        <w:t>1.强化总量强度“双控”，严格刚性约束</w:t>
      </w:r>
      <w:r>
        <w:rPr>
          <w:rFonts w:hint="eastAsia" w:ascii="Times New Roman" w:hAnsi="Times New Roman" w:eastAsia="宋体"/>
          <w:sz w:val="24"/>
          <w:lang w:eastAsia="zh-CN"/>
        </w:rPr>
        <w:t>；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hint="eastAsia" w:ascii="Times New Roman" w:hAnsi="Times New Roman" w:eastAsia="宋体"/>
          <w:sz w:val="24"/>
        </w:rPr>
        <w:t>2.抓住“四大重点行业领域”，深度节水控水</w:t>
      </w:r>
      <w:r>
        <w:rPr>
          <w:rFonts w:hint="eastAsia" w:ascii="Times New Roman" w:hAnsi="Times New Roman" w:eastAsia="宋体"/>
          <w:sz w:val="24"/>
          <w:lang w:eastAsia="zh-CN"/>
        </w:rPr>
        <w:t>；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hint="eastAsia" w:ascii="Times New Roman" w:hAnsi="Times New Roman" w:eastAsia="宋体"/>
          <w:sz w:val="24"/>
        </w:rPr>
        <w:t>3.聚焦节水管理“五大关键环节”，推动绿色发展</w:t>
      </w:r>
      <w:r>
        <w:rPr>
          <w:rFonts w:hint="eastAsia" w:ascii="Times New Roman" w:hAnsi="Times New Roman" w:eastAsia="宋体"/>
          <w:sz w:val="24"/>
          <w:lang w:eastAsia="zh-CN"/>
        </w:rPr>
        <w:t>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3月26日，据</w:t>
      </w:r>
      <w:r>
        <w:rPr>
          <w:rFonts w:hint="default" w:ascii="Times New Roman" w:hAnsi="Times New Roman" w:eastAsia="宋体"/>
          <w:sz w:val="24"/>
        </w:rPr>
        <w:fldChar w:fldCharType="begin"/>
      </w:r>
      <w:r>
        <w:rPr>
          <w:rFonts w:hint="default" w:ascii="Times New Roman" w:hAnsi="Times New Roman" w:eastAsia="宋体"/>
          <w:sz w:val="24"/>
        </w:rPr>
        <w:instrText xml:space="preserve"> HYPERLINK "https://baike.baidu.com/item/%E9%87%8D%E5%BA%86/23586" \t "https://baike.baidu.com/item/%E9%87%8D%E5%BA%86%E6%B0%B4%E8%B5%84%E6%BA%90/_blank" </w:instrText>
      </w:r>
      <w:r>
        <w:rPr>
          <w:rFonts w:hint="default" w:ascii="Times New Roman" w:hAnsi="Times New Roman" w:eastAsia="宋体"/>
          <w:sz w:val="24"/>
        </w:rPr>
        <w:fldChar w:fldCharType="separate"/>
      </w:r>
      <w:r>
        <w:rPr>
          <w:rFonts w:hint="default" w:ascii="Times New Roman" w:hAnsi="Times New Roman" w:eastAsia="宋体"/>
          <w:sz w:val="24"/>
        </w:rPr>
        <w:t>重庆</w:t>
      </w:r>
      <w:r>
        <w:rPr>
          <w:rFonts w:hint="default" w:ascii="Times New Roman" w:hAnsi="Times New Roman" w:eastAsia="宋体"/>
          <w:sz w:val="24"/>
        </w:rPr>
        <w:fldChar w:fldCharType="end"/>
      </w:r>
      <w:r>
        <w:rPr>
          <w:rFonts w:hint="default" w:ascii="Times New Roman" w:hAnsi="Times New Roman" w:eastAsia="宋体"/>
          <w:sz w:val="24"/>
        </w:rPr>
        <w:t>日报报道，重庆市将出台最严格水资源管理制度，2014年内重庆最严格水资源管理制度考核办法也将出台。到2015年，全市用水总量将控制在94亿</w:t>
      </w:r>
      <w:r>
        <w:rPr>
          <w:rFonts w:hint="default" w:ascii="Times New Roman" w:hAnsi="Times New Roman" w:eastAsia="宋体"/>
          <w:sz w:val="24"/>
        </w:rPr>
        <w:fldChar w:fldCharType="begin"/>
      </w:r>
      <w:r>
        <w:rPr>
          <w:rFonts w:hint="default" w:ascii="Times New Roman" w:hAnsi="Times New Roman" w:eastAsia="宋体"/>
          <w:sz w:val="24"/>
        </w:rPr>
        <w:instrText xml:space="preserve"> HYPERLINK "https://baike.baidu.com/item/%E7%AB%8B%E6%96%B9%E7%B1%B3" \t "https://baike.baidu.com/item/%E9%87%8D%E5%BA%86%E6%B0%B4%E8%B5%84%E6%BA%90/_blank" </w:instrText>
      </w:r>
      <w:r>
        <w:rPr>
          <w:rFonts w:hint="default" w:ascii="Times New Roman" w:hAnsi="Times New Roman" w:eastAsia="宋体"/>
          <w:sz w:val="24"/>
        </w:rPr>
        <w:fldChar w:fldCharType="separate"/>
      </w:r>
      <w:r>
        <w:rPr>
          <w:rFonts w:hint="default" w:ascii="Times New Roman" w:hAnsi="Times New Roman" w:eastAsia="宋体"/>
          <w:sz w:val="24"/>
        </w:rPr>
        <w:t>立方米</w:t>
      </w:r>
      <w:r>
        <w:rPr>
          <w:rFonts w:hint="default" w:ascii="Times New Roman" w:hAnsi="Times New Roman" w:eastAsia="宋体"/>
          <w:sz w:val="24"/>
        </w:rPr>
        <w:fldChar w:fldCharType="end"/>
      </w:r>
      <w:r>
        <w:rPr>
          <w:rFonts w:hint="default" w:ascii="Times New Roman" w:hAnsi="Times New Roman" w:eastAsia="宋体"/>
          <w:sz w:val="24"/>
        </w:rPr>
        <w:t>以内。万元工业增加值用水量比2010年下降33%以上，农田灌溉水有效利用系数提高到0.478以上。重要江河</w:t>
      </w:r>
      <w:r>
        <w:rPr>
          <w:rFonts w:hint="default" w:ascii="Times New Roman" w:hAnsi="Times New Roman" w:eastAsia="宋体"/>
          <w:sz w:val="24"/>
        </w:rPr>
        <w:fldChar w:fldCharType="begin"/>
      </w:r>
      <w:r>
        <w:rPr>
          <w:rFonts w:hint="default" w:ascii="Times New Roman" w:hAnsi="Times New Roman" w:eastAsia="宋体"/>
          <w:sz w:val="24"/>
        </w:rPr>
        <w:instrText xml:space="preserve"> HYPERLINK "https://baike.baidu.com/item/%E6%B9%96%E6%B3%8A/242936" \t "https://baike.baidu.com/item/%E9%87%8D%E5%BA%86%E6%B0%B4%E8%B5%84%E6%BA%90/_blank" </w:instrText>
      </w:r>
      <w:r>
        <w:rPr>
          <w:rFonts w:hint="default" w:ascii="Times New Roman" w:hAnsi="Times New Roman" w:eastAsia="宋体"/>
          <w:sz w:val="24"/>
        </w:rPr>
        <w:fldChar w:fldCharType="separate"/>
      </w:r>
      <w:r>
        <w:rPr>
          <w:rFonts w:hint="default" w:ascii="Times New Roman" w:hAnsi="Times New Roman" w:eastAsia="宋体"/>
          <w:sz w:val="24"/>
        </w:rPr>
        <w:t>湖泊</w:t>
      </w:r>
      <w:r>
        <w:rPr>
          <w:rFonts w:hint="default" w:ascii="Times New Roman" w:hAnsi="Times New Roman" w:eastAsia="宋体"/>
          <w:sz w:val="24"/>
        </w:rPr>
        <w:fldChar w:fldCharType="end"/>
      </w:r>
      <w:r>
        <w:rPr>
          <w:rFonts w:hint="default" w:ascii="Times New Roman" w:hAnsi="Times New Roman" w:eastAsia="宋体"/>
          <w:sz w:val="24"/>
        </w:rPr>
        <w:t>水功能区水质达标率提高到78%以上。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</w:p>
    <w:p>
      <w:pPr>
        <w:pStyle w:val="4"/>
        <w:rPr>
          <w:rFonts w:ascii="Times New Roman" w:hAnsi="Times New Roman" w:eastAsia="宋体"/>
        </w:rPr>
      </w:pPr>
      <w:bookmarkStart w:id="3" w:name="_Toc61956668"/>
      <w:r>
        <w:rPr>
          <w:rFonts w:hint="eastAsia" w:ascii="Times New Roman" w:hAnsi="Times New Roman" w:eastAsia="宋体"/>
        </w:rPr>
        <w:t>2.2水资源状况</w:t>
      </w:r>
      <w:bookmarkEnd w:id="3"/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00" w:lineRule="exact"/>
        <w:ind w:left="34" w:right="34" w:firstLine="363"/>
        <w:jc w:val="both"/>
        <w:textAlignment w:val="auto"/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重庆市位于长江上游，境内河流纵横，均属长江水系，长江自西南向东北横贯市境，北有嘉陵江、南有乌江汇入，形成向心的、不对称的网状水系。境内流域面积50平方公里及以上河流510条，流域面积100平方公里及以上河流274条，流域面积1000平方公里及以上河流42条。</w:t>
      </w: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根据2021年发布的《2020年度重庆市水资源公报》。2020年，全市用水总量70.1101亿立方米，其中，生产用水51.7889亿立方米，生活用水16.6507亿立方米，生态环境补水1.6705亿立方米，分别占总用水量的73.87%、23.75%、2.38%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00" w:lineRule="exact"/>
        <w:ind w:left="34" w:right="34" w:firstLine="363"/>
        <w:jc w:val="both"/>
        <w:textAlignment w:val="auto"/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全市多年平均降水1184.14毫米，多年平均当地水资源量567.8亿立方米，多年平均过境水资源量3837.4亿立方米。</w:t>
      </w: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重庆市水资源特点是：一是时空分布不均。东部多，西部少，汛期占70%，非汛期占30%。二是当地水资源不足。全市多年人均占有当地水资源量约为1700立方米，约为全国人均水资源量的4/5，世界人均水资源量的1/5。根据国际公认的缺水标准，我市人均水量介于1000～2000立方米之间属于中度缺水地区，西部11个区县人均水量介于500～1000立方米之间属于重度缺水地区。三是过境水丰富，但开发利用难度大。我市地形地貌大部分属于山地、丘陵，呈现典型的“人在高处走，水在低处流”的特征，虽有丰富的过境水，但开发利用难度大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00" w:lineRule="exact"/>
        <w:ind w:left="34" w:right="34" w:firstLine="363"/>
        <w:jc w:val="both"/>
        <w:textAlignment w:val="auto"/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2017年，全市平均降水量1277.9毫米，折合年降水量1053亿立方米，较上年偏多21.9%，较多年平均降水量偏多7.9%，属平水年份。全市当地地表水资源量为656.4亿立方米，较上年增加43.9%，较多年平均值增加15.6%。全市总用水量为77.4亿立方米。全市人均用水量为251.8立方米/年，万元国内生产总值用水量为39.7立方米（当年价），万元工业增加值用水量为46.2立方米（当年价），人均生活用水量为136.9升/日，农田灌溉水有效利用系数为0.4894，农田灌溉亩均用水量为330立方米，城镇人均公共用水量为71.9升/日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00" w:lineRule="exact"/>
        <w:ind w:left="34" w:right="34" w:firstLine="363"/>
        <w:jc w:val="both"/>
        <w:textAlignment w:val="auto"/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重庆市属于西南紫色土区，水土流失类型主要为水力侵蚀，局部地区存在重力侵蚀。根据水土流失遥感调查成果，2016年，全市有水土流失面积2.87万平方公里，占全市幅员面积的34.84%，年土壤侵蚀总量约9000万吨。其中：轻度流失10101.74平方公里、中度流失9242.02平方公里、强烈流失4881.34平方公里、极强烈流失3340.18平方公里、剧烈流失1142.43平方公里，分别占流失总面积的35.19%、32.19%、17.00%、11.64%、3.98%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00" w:lineRule="exact"/>
        <w:ind w:left="34" w:right="34" w:firstLine="363"/>
        <w:jc w:val="both"/>
        <w:textAlignment w:val="auto"/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全市已建成各类水利工程22.14万处，其中：水库3042座（大型17座、中型96座、小型2929座，水库总库容121.44亿立方米），山坪塘16.36万口，泵站8180处，水闸126处，规模以上机电井482眼，农村集中式供水工程44427处，农村水电站1547处。全市农田有效灌溉面积达到1041.5万亩，节水灌溉面积累计达到350.1万亩。</w:t>
      </w:r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</w:p>
    <w:p>
      <w:pPr>
        <w:pStyle w:val="4"/>
        <w:rPr>
          <w:rFonts w:ascii="Times New Roman" w:hAnsi="Times New Roman" w:eastAsia="宋体"/>
        </w:rPr>
      </w:pPr>
      <w:bookmarkStart w:id="4" w:name="_Toc61956669"/>
      <w:r>
        <w:rPr>
          <w:rFonts w:hint="eastAsia" w:ascii="Times New Roman" w:hAnsi="Times New Roman" w:eastAsia="宋体"/>
        </w:rPr>
        <w:t>2.3气象资料</w:t>
      </w:r>
      <w:bookmarkEnd w:id="4"/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重庆位于北半球副热带内陆地区，属中亚热带湿润季风气候类型，北部和东南部分布有山，构成四川盆地边缘山地。形成了"夏热冬暖, 无霜期长"的气候特点，为长江三大"火炉"之一。</w:t>
      </w:r>
      <w:r>
        <w:rPr>
          <w:rFonts w:hint="eastAsia" w:ascii="Times New Roman" w:hAnsi="Times New Roman" w:eastAsia="宋体"/>
          <w:sz w:val="24"/>
        </w:rPr>
        <w:br w:type="textWrapping"/>
      </w:r>
      <w:r>
        <w:rPr>
          <w:rFonts w:hint="eastAsia" w:ascii="Times New Roman" w:hAnsi="Times New Roman" w:eastAsia="宋体"/>
          <w:sz w:val="24"/>
        </w:rPr>
        <w:t>    重庆的气候特征是:（1）夏热冬暖, 无霜期长。最冷月(1月)平均气温有7.8℃, 无霜期340--350天, 大于0℃活动积温6000--6900℃, 是同纬度无霜期最长的地区。（2）降水量充沛, 时空分配不均。多暴雨, 受青藏高压和副热高压的影响, 7、8月份常出现30--50天的干旱。（3） 秋多阴雨, 冬多云雾, 日照时数少，素有"雾都"之称。（4）气候垂直分布明显。因受地形影响, 重庆地区一般存在着500--600米、800米左右二个逆温层。降水量随海拔增高而增多, 多雨带各地不一。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shd w:val="clear" w:fill="F5F7FB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-6350</wp:posOffset>
                  </wp:positionV>
                  <wp:extent cx="5400040" cy="1635125"/>
                  <wp:effectExtent l="0" t="0" r="10160" b="10795"/>
                  <wp:wrapTopAndBottom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163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jc w:val="both"/>
        <w:rPr>
          <w:rFonts w:ascii="Times New Roman" w:hAnsi="Times New Roman" w:eastAsia="宋体"/>
          <w:sz w:val="18"/>
          <w:szCs w:val="18"/>
        </w:rPr>
      </w:pPr>
    </w:p>
    <w:p>
      <w:pPr>
        <w:pStyle w:val="3"/>
        <w:numPr>
          <w:ilvl w:val="0"/>
          <w:numId w:val="1"/>
        </w:numPr>
        <w:rPr>
          <w:rFonts w:ascii="Times New Roman" w:hAnsi="Times New Roman" w:eastAsia="宋体"/>
        </w:rPr>
      </w:pPr>
      <w:bookmarkStart w:id="5" w:name="_Toc61956670"/>
      <w:r>
        <w:rPr>
          <w:rFonts w:hint="eastAsia" w:ascii="Times New Roman" w:hAnsi="Times New Roman" w:eastAsia="宋体"/>
        </w:rPr>
        <w:t>用水量估算</w:t>
      </w:r>
      <w:bookmarkEnd w:id="5"/>
    </w:p>
    <w:p>
      <w:pPr>
        <w:pStyle w:val="4"/>
        <w:rPr>
          <w:rFonts w:ascii="Times New Roman" w:hAnsi="Times New Roman" w:eastAsia="宋体"/>
        </w:rPr>
      </w:pPr>
      <w:bookmarkStart w:id="6" w:name="_Toc61956671"/>
      <w:r>
        <w:rPr>
          <w:rFonts w:hint="eastAsia" w:ascii="Times New Roman" w:hAnsi="Times New Roman" w:eastAsia="宋体"/>
        </w:rPr>
        <w:t>3.1用水定额</w:t>
      </w:r>
      <w:bookmarkEnd w:id="6"/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本项目平均日生活用水节水用水定额、杂用水节水用水定额根据《民用建筑节水设计标准》 GB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50555-2010的要求，结合本项目实际情况取值：</w:t>
      </w:r>
    </w:p>
    <w:p>
      <w:pPr>
        <w:spacing w:line="400" w:lineRule="exact"/>
        <w:ind w:firstLine="360" w:firstLineChars="200"/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 3-1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</w:rPr>
        <w:t>平均日生活用水节水用水定额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43"/>
        <w:gridCol w:w="1742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建筑类型及卫生器具设置标准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节水用水定额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/>
                        <w:sz w:val="18"/>
                        <w:szCs w:val="18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宋体"/>
                        <w:sz w:val="18"/>
                        <w:szCs w:val="18"/>
                      </w:rPr>
                      <m:t>q</m:t>
                    </m:r>
                    <m:ctrlPr>
                      <w:rPr>
                        <w:rFonts w:ascii="Cambria Math" w:hAnsi="Cambria Math" w:eastAsia="宋体"/>
                        <w:sz w:val="18"/>
                        <w:szCs w:val="18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="宋体"/>
                        <w:sz w:val="18"/>
                        <w:szCs w:val="18"/>
                      </w:rPr>
                      <m:t>g</m:t>
                    </m:r>
                    <m:ctrlPr>
                      <w:rPr>
                        <w:rFonts w:ascii="Cambria Math" w:hAnsi="Cambria Math" w:eastAsia="宋体"/>
                        <w:sz w:val="18"/>
                        <w:szCs w:val="18"/>
                      </w:rPr>
                    </m:ctrlPr>
                  </m:sub>
                </m:sSub>
              </m:oMath>
            </m:oMathPara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本项目取值</w:t>
            </w: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普通住宅Ⅱ类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120~200</w:t>
            </w: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L/人·d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其它不可预见用水量取10%</w:t>
            </w:r>
          </w:p>
        </w:tc>
      </w:tr>
    </w:tbl>
    <w:p>
      <w:pPr>
        <w:pStyle w:val="4"/>
        <w:rPr>
          <w:rFonts w:ascii="Times New Roman" w:hAnsi="Times New Roman" w:eastAsia="宋体"/>
        </w:rPr>
      </w:pPr>
      <w:bookmarkStart w:id="7" w:name="_Toc61956672"/>
      <w:r>
        <w:rPr>
          <w:rFonts w:hint="eastAsia" w:ascii="Times New Roman" w:hAnsi="Times New Roman" w:eastAsia="宋体"/>
        </w:rPr>
        <w:t>3.2用水量估算</w:t>
      </w:r>
      <w:bookmarkEnd w:id="7"/>
    </w:p>
    <w:p>
      <w:pPr>
        <w:ind w:firstLine="42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（各类被用水估算）各类用水单位数量统计如下：</w:t>
      </w:r>
    </w:p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 3.2.-1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</w:rPr>
        <w:t>各类用水单位数量统计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14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序号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用水类别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数量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生活用水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不可预见的用水量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盥洗、冲厕、餐饮、绿化灌溉、地面冲洗、水景补水等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无</w:t>
            </w:r>
          </w:p>
        </w:tc>
      </w:tr>
    </w:tbl>
    <w:p>
      <w:pPr>
        <w:ind w:firstLine="42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根据3.1节的用水定额及各参数代入进行计算如下表:</w:t>
      </w:r>
    </w:p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 3.2.-</w:t>
      </w:r>
      <w:r>
        <w:rPr>
          <w:rFonts w:ascii="Times New Roman" w:hAnsi="Times New Roman" w:eastAsia="宋体"/>
          <w:sz w:val="18"/>
          <w:szCs w:val="18"/>
        </w:rPr>
        <w:t xml:space="preserve">2 </w:t>
      </w:r>
      <w:r>
        <w:rPr>
          <w:rFonts w:hint="eastAsia" w:ascii="Times New Roman" w:hAnsi="Times New Roman" w:eastAsia="宋体"/>
          <w:sz w:val="18"/>
          <w:szCs w:val="18"/>
        </w:rPr>
        <w:t>各类用水量估算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13"/>
        <w:gridCol w:w="922"/>
        <w:gridCol w:w="922"/>
        <w:gridCol w:w="1129"/>
        <w:gridCol w:w="715"/>
        <w:gridCol w:w="702"/>
        <w:gridCol w:w="1142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用水类别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数量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用水定额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用水频率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年用水量（m³）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生活用水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L/人·d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38529.4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杂用水合计</w:t>
            </w:r>
          </w:p>
        </w:tc>
        <w:tc>
          <w:tcPr>
            <w:tcW w:w="510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车库冲洗+绿化灌溉+道路浇洒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3852.94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总用水合计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住宅及其它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L/人·d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42382.34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无</w:t>
            </w:r>
          </w:p>
        </w:tc>
      </w:tr>
    </w:tbl>
    <w:p>
      <w:pPr>
        <w:pStyle w:val="4"/>
        <w:rPr>
          <w:rFonts w:ascii="Times New Roman" w:hAnsi="Times New Roman" w:eastAsia="宋体"/>
        </w:rPr>
      </w:pPr>
      <w:bookmarkStart w:id="8" w:name="_Toc61956673"/>
      <w:r>
        <w:rPr>
          <w:rFonts w:hint="eastAsia" w:ascii="Times New Roman" w:hAnsi="Times New Roman" w:eastAsia="宋体"/>
        </w:rPr>
        <w:t>4节水策略</w:t>
      </w:r>
      <w:bookmarkEnd w:id="8"/>
    </w:p>
    <w:p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1）给水系统选用密闭性能好的阀门、设备，优先采用软密封闸阀或蝶阀，避免管网漏损。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2）卫生洁具均要求选用节水型洁具及五金配件，所有用水器具应满足现行标准《节水型生活用水器具》CJT164-2014及《节水型产品通用技术条件》GB/T18870-2011要求。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3）优先利用市政给水管网的压力直接供水，当给水管网的水压和水量不足时，根据经济节能的原则选用合理的加压供水方案，并满足各配水点处供水压力不大于0.2Mpa。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4）室外埋地管道采取有效的保护措施避免管网漏损，并结合建筑与给排水系统建设做好排水构件链接，避免构件出现渗水，确保建筑物给排水系统的正常。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5）管材与管件连接的密封材料应卫生、严密、防腐、耐压、耐久；为避免重要物资和设备受潮引起的损失，应采取有效措施避免管道、阀门和设备的漏水、渗水或结露。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6）选购质量好的管道材料，如：不锈钢管、钢塑或铝塑复合管等，这样的管道材料不易老化和锈蚀，进而延长了管道的使用年限，有效地缩减了管道的使用和更换成本，</w:t>
      </w:r>
      <w:r>
        <w:rPr>
          <w:rFonts w:hint="eastAsia" w:ascii="Times New Roman" w:hAnsi="Times New Roman" w:eastAsia="宋体"/>
          <w:sz w:val="24"/>
          <w:szCs w:val="18"/>
        </w:rPr>
        <w:t>能够更好的改善管道漏水问题。</w:t>
      </w:r>
    </w:p>
    <w:p>
      <w:pPr>
        <w:pStyle w:val="3"/>
        <w:rPr>
          <w:rFonts w:ascii="Times New Roman" w:hAnsi="Times New Roman" w:eastAsia="宋体"/>
        </w:rPr>
      </w:pPr>
      <w:bookmarkStart w:id="9" w:name="_Toc61956674"/>
      <w:r>
        <w:rPr>
          <w:rFonts w:hint="eastAsia" w:ascii="Times New Roman" w:hAnsi="Times New Roman" w:eastAsia="宋体"/>
        </w:rPr>
        <w:t>五、给排水系统设计方案</w:t>
      </w:r>
      <w:bookmarkEnd w:id="9"/>
    </w:p>
    <w:p>
      <w:pPr>
        <w:pStyle w:val="4"/>
        <w:rPr>
          <w:rFonts w:ascii="Times New Roman" w:hAnsi="Times New Roman" w:eastAsia="宋体"/>
        </w:rPr>
      </w:pPr>
      <w:bookmarkStart w:id="10" w:name="_Toc61956675"/>
      <w:r>
        <w:rPr>
          <w:rFonts w:hint="eastAsia" w:ascii="Times New Roman" w:hAnsi="Times New Roman" w:eastAsia="宋体"/>
        </w:rPr>
        <w:t>5.1生活给水系统</w:t>
      </w:r>
      <w:bookmarkEnd w:id="10"/>
    </w:p>
    <w:p>
      <w:pPr>
        <w:spacing w:line="400" w:lineRule="exact"/>
        <w:ind w:left="60" w:firstLine="360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1）</w:t>
      </w:r>
      <w:r>
        <w:rPr>
          <w:rFonts w:hint="eastAsia" w:ascii="Times New Roman" w:hAnsi="Times New Roman" w:eastAsia="宋体"/>
          <w:sz w:val="24"/>
          <w:szCs w:val="18"/>
        </w:rPr>
        <w:t>水源：本项目以市政给水管网为水源，从西面市政路引入一路 </w:t>
      </w:r>
      <w:r>
        <w:rPr>
          <w:rFonts w:hint="default" w:ascii="Times New Roman" w:hAnsi="Times New Roman" w:eastAsia="宋体"/>
          <w:sz w:val="24"/>
          <w:szCs w:val="18"/>
        </w:rPr>
        <w:t>DN100 </w:t>
      </w:r>
      <w:r>
        <w:rPr>
          <w:rFonts w:hint="eastAsia" w:ascii="Times New Roman" w:hAnsi="Times New Roman" w:eastAsia="宋体"/>
          <w:sz w:val="24"/>
          <w:szCs w:val="18"/>
        </w:rPr>
        <w:t>的给水管，并向室内各用水点供水，甲方提供基本水压为</w:t>
      </w:r>
      <w:r>
        <w:rPr>
          <w:rFonts w:hint="default" w:ascii="Times New Roman" w:hAnsi="Times New Roman" w:eastAsia="宋体"/>
          <w:sz w:val="24"/>
          <w:szCs w:val="18"/>
        </w:rPr>
        <w:t> 0.25MPa </w:t>
      </w:r>
      <w:r>
        <w:rPr>
          <w:rFonts w:hint="eastAsia" w:ascii="Times New Roman" w:hAnsi="Times New Roman" w:eastAsia="宋体"/>
          <w:sz w:val="24"/>
          <w:szCs w:val="18"/>
        </w:rPr>
        <w:t>。从西面市政路和南面市政给水管引入两路</w:t>
      </w:r>
      <w:r>
        <w:rPr>
          <w:rFonts w:hint="default" w:ascii="Times New Roman" w:hAnsi="Times New Roman" w:eastAsia="宋体"/>
          <w:sz w:val="24"/>
          <w:szCs w:val="18"/>
        </w:rPr>
        <w:t> DN100 </w:t>
      </w:r>
      <w:r>
        <w:rPr>
          <w:rFonts w:hint="eastAsia" w:ascii="Times New Roman" w:hAnsi="Times New Roman" w:eastAsia="宋体"/>
          <w:sz w:val="24"/>
          <w:szCs w:val="18"/>
        </w:rPr>
        <w:t>的给水管与小区内形成环网，按照消防规范在环网管道适当位置设置室外消火栓，确保本小区的消防用水。</w:t>
      </w:r>
    </w:p>
    <w:p>
      <w:pPr>
        <w:spacing w:line="400" w:lineRule="exact"/>
        <w:ind w:left="60" w:firstLine="360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2）</w:t>
      </w:r>
      <w:r>
        <w:rPr>
          <w:rFonts w:hint="eastAsia" w:ascii="Times New Roman" w:hAnsi="Times New Roman" w:eastAsia="宋体"/>
          <w:sz w:val="24"/>
          <w:szCs w:val="18"/>
        </w:rPr>
        <w:t>供水分区：生活给水系统分为市政直供及加压供水系统。本工程生活给水系统： </w:t>
      </w:r>
      <w:r>
        <w:rPr>
          <w:rFonts w:hint="default" w:ascii="Times New Roman" w:hAnsi="Times New Roman" w:eastAsia="宋体"/>
          <w:sz w:val="24"/>
          <w:szCs w:val="18"/>
        </w:rPr>
        <w:t>-1F </w:t>
      </w:r>
      <w:r>
        <w:rPr>
          <w:rFonts w:hint="eastAsia" w:ascii="Times New Roman" w:hAnsi="Times New Roman" w:eastAsia="宋体"/>
          <w:sz w:val="24"/>
          <w:szCs w:val="18"/>
        </w:rPr>
        <w:t>至</w:t>
      </w:r>
      <w:r>
        <w:rPr>
          <w:rFonts w:hint="default" w:ascii="Times New Roman" w:hAnsi="Times New Roman" w:eastAsia="宋体"/>
          <w:sz w:val="24"/>
          <w:szCs w:val="18"/>
        </w:rPr>
        <w:t> 1F </w:t>
      </w:r>
      <w:r>
        <w:rPr>
          <w:rFonts w:hint="eastAsia" w:ascii="Times New Roman" w:hAnsi="Times New Roman" w:eastAsia="宋体"/>
          <w:sz w:val="24"/>
          <w:szCs w:val="18"/>
        </w:rPr>
        <w:t>直接由市政供水，</w:t>
      </w:r>
      <w:r>
        <w:rPr>
          <w:rFonts w:hint="default" w:ascii="Times New Roman" w:hAnsi="Times New Roman" w:eastAsia="宋体"/>
          <w:sz w:val="24"/>
          <w:szCs w:val="18"/>
        </w:rPr>
        <w:t> 2F </w:t>
      </w:r>
      <w:r>
        <w:rPr>
          <w:rFonts w:hint="eastAsia" w:ascii="Times New Roman" w:hAnsi="Times New Roman" w:eastAsia="宋体"/>
          <w:sz w:val="24"/>
          <w:szCs w:val="18"/>
        </w:rPr>
        <w:t>至</w:t>
      </w:r>
      <w:r>
        <w:rPr>
          <w:rFonts w:hint="default" w:ascii="Times New Roman" w:hAnsi="Times New Roman" w:eastAsia="宋体"/>
          <w:sz w:val="24"/>
          <w:szCs w:val="18"/>
        </w:rPr>
        <w:t> 7F </w:t>
      </w:r>
      <w:r>
        <w:rPr>
          <w:rFonts w:hint="eastAsia" w:ascii="Times New Roman" w:hAnsi="Times New Roman" w:eastAsia="宋体"/>
          <w:sz w:val="24"/>
          <w:szCs w:val="18"/>
        </w:rPr>
        <w:t>设于负一层泵房内的变频泵组加压供水</w:t>
      </w:r>
      <w:r>
        <w:rPr>
          <w:rFonts w:hint="eastAsia" w:ascii="Times New Roman" w:hAnsi="Times New Roman" w:eastAsia="宋体"/>
          <w:sz w:val="24"/>
          <w:szCs w:val="18"/>
          <w:lang w:eastAsia="zh-CN"/>
        </w:rPr>
        <w:t>。</w:t>
      </w:r>
    </w:p>
    <w:p>
      <w:pPr>
        <w:spacing w:line="400" w:lineRule="exact"/>
        <w:ind w:left="60" w:firstLine="36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sz w:val="24"/>
          <w:szCs w:val="18"/>
        </w:rPr>
        <w:t>3</w:t>
      </w:r>
      <w:r>
        <w:rPr>
          <w:rFonts w:ascii="Times New Roman" w:hAnsi="Times New Roman" w:eastAsia="宋体"/>
          <w:sz w:val="24"/>
          <w:szCs w:val="18"/>
        </w:rPr>
        <w:t>）</w:t>
      </w:r>
      <w:r>
        <w:rPr>
          <w:rFonts w:hint="eastAsia" w:ascii="Times New Roman" w:hAnsi="Times New Roman" w:eastAsia="宋体"/>
          <w:sz w:val="24"/>
          <w:szCs w:val="18"/>
        </w:rPr>
        <w:t>减压措施：采用支管减压措施，阀后压力为</w:t>
      </w:r>
      <w:r>
        <w:rPr>
          <w:rFonts w:hint="default" w:ascii="Times New Roman" w:hAnsi="Times New Roman" w:eastAsia="宋体"/>
          <w:sz w:val="24"/>
          <w:szCs w:val="18"/>
        </w:rPr>
        <w:t> 0.20MPa </w:t>
      </w:r>
      <w:r>
        <w:rPr>
          <w:rFonts w:hint="eastAsia" w:ascii="Times New Roman" w:hAnsi="Times New Roman" w:eastAsia="宋体"/>
          <w:sz w:val="24"/>
          <w:szCs w:val="18"/>
        </w:rPr>
        <w:t>。</w:t>
      </w:r>
    </w:p>
    <w:p>
      <w:pPr>
        <w:pStyle w:val="4"/>
        <w:rPr>
          <w:rFonts w:ascii="Times New Roman" w:hAnsi="Times New Roman" w:eastAsia="宋体"/>
        </w:rPr>
      </w:pPr>
      <w:bookmarkStart w:id="11" w:name="_Toc61956676"/>
      <w:r>
        <w:rPr>
          <w:rFonts w:hint="eastAsia" w:ascii="Times New Roman" w:hAnsi="Times New Roman" w:eastAsia="宋体"/>
        </w:rPr>
        <w:t>5.2生活排水系统</w:t>
      </w:r>
      <w:bookmarkEnd w:id="11"/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（描述项目生活排水系统设置情况）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00"/>
        <w:rPr>
          <w:rFonts w:hint="default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本项目室内生活污、废水合流排放，生活污水与废水分流排放，室外采用雨污分流、污废合流体制。污废水直接排至室外化粪池，室外污废水收集经化粪池处理后再排入市政污水管道，厨房废水经隔油池处理后再排入市政污水管道；室内地下车库冲洗废水汇集至地下室各集水坑</w:t>
      </w:r>
      <w:r>
        <w:rPr>
          <w:rFonts w:hint="default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 , </w:t>
      </w: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由潜污泵提升至室外污水井；雨水经室外雨水检查井最终排至周边市政道路雨水管网面，雨水按重力、满流雨水排水系统设计，屋面雨水由</w:t>
      </w:r>
      <w:r>
        <w:rPr>
          <w:rFonts w:hint="default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 87 </w:t>
      </w: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型雨水斗、侧墙式雨水斗收集，经雨水立管排至室外雨水管道。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</w:p>
    <w:p>
      <w:pPr>
        <w:pStyle w:val="4"/>
        <w:rPr>
          <w:rFonts w:ascii="Times New Roman" w:hAnsi="Times New Roman" w:eastAsia="宋体"/>
        </w:rPr>
      </w:pPr>
      <w:bookmarkStart w:id="12" w:name="_Toc61956677"/>
      <w:r>
        <w:rPr>
          <w:rFonts w:hint="eastAsia" w:ascii="Times New Roman" w:hAnsi="Times New Roman" w:eastAsia="宋体"/>
        </w:rPr>
        <w:t>5</w:t>
      </w:r>
      <w:r>
        <w:rPr>
          <w:rFonts w:ascii="Times New Roman" w:hAnsi="Times New Roman" w:eastAsia="宋体"/>
        </w:rPr>
        <w:t>.3</w:t>
      </w:r>
      <w:r>
        <w:rPr>
          <w:rFonts w:hint="eastAsia" w:ascii="Times New Roman" w:hAnsi="Times New Roman" w:eastAsia="宋体"/>
        </w:rPr>
        <w:t>雨水排水系统</w:t>
      </w:r>
      <w:bookmarkEnd w:id="12"/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（描述项目雨水排水系统设置情况）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471" w:firstLine="480" w:firstLineChars="200"/>
        <w:jc w:val="both"/>
        <w:textAlignment w:val="baseline"/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屋面雨水采用重力内排水系统，设计重现期为2年，降雨历时5min；屋顶女儿墙设溢流口，屋面雨水排水与溢流口总排水能力按50年重现期的雨水量设计。</w:t>
      </w:r>
    </w:p>
    <w:p>
      <w:pPr>
        <w:autoSpaceDE w:val="0"/>
        <w:autoSpaceDN w:val="0"/>
        <w:adjustRightInd w:val="0"/>
        <w:ind w:left="470"/>
        <w:textAlignment w:val="baseline"/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q =2989.3x(1+0.95xlgP)/(t+11.77)0.88</w:t>
      </w:r>
    </w:p>
    <w:p>
      <w:pPr>
        <w:numPr>
          <w:ilvl w:val="1"/>
          <w:numId w:val="2"/>
        </w:numPr>
        <w:autoSpaceDE w:val="0"/>
        <w:autoSpaceDN w:val="0"/>
        <w:adjustRightInd w:val="0"/>
        <w:ind w:left="780" w:hanging="360"/>
        <w:textAlignment w:val="baseline"/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立管计算：</w:t>
      </w:r>
    </w:p>
    <w:p>
      <w:pPr>
        <w:autoSpaceDE w:val="0"/>
        <w:autoSpaceDN w:val="0"/>
        <w:adjustRightInd w:val="0"/>
        <w:ind w:left="368" w:leftChars="175" w:firstLine="480" w:firstLineChars="200"/>
        <w:textAlignment w:val="baseline"/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以YL--1为例：</w:t>
      </w:r>
    </w:p>
    <w:p>
      <w:pPr>
        <w:autoSpaceDE w:val="0"/>
        <w:autoSpaceDN w:val="0"/>
        <w:adjustRightInd w:val="0"/>
        <w:ind w:left="412" w:leftChars="196" w:firstLine="480" w:firstLineChars="200"/>
        <w:textAlignment w:val="baseline"/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单个雨水斗汇水面积约280 m2，雨水流量8.10L/s</w:t>
      </w:r>
    </w:p>
    <w:p>
      <w:pPr>
        <w:autoSpaceDE w:val="0"/>
        <w:autoSpaceDN w:val="0"/>
        <w:adjustRightInd w:val="0"/>
        <w:ind w:left="832" w:leftChars="396"/>
        <w:textAlignment w:val="baseline"/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选用87型DN100雨水斗，单斗系统中的一个斗的设计排水能力为12L/s，立管DN100，最大设计排水能力17.1 L/s均能满足要求。</w:t>
      </w:r>
    </w:p>
    <w:p>
      <w:pPr>
        <w:autoSpaceDE w:val="0"/>
        <w:autoSpaceDN w:val="0"/>
        <w:adjustRightInd w:val="0"/>
        <w:ind w:firstLine="480" w:firstLineChars="200"/>
        <w:textAlignment w:val="baseline"/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2. 溢流计算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 xml:space="preserve">   设置200*200的溢流口设置两个，按照50年重现期校核，雨水斗，立管和悬吊管以及溢流口总排水能力满足要求。</w:t>
      </w:r>
    </w:p>
    <w:p>
      <w:pPr>
        <w:pStyle w:val="4"/>
        <w:rPr>
          <w:rFonts w:ascii="Times New Roman" w:hAnsi="Times New Roman" w:eastAsia="宋体"/>
        </w:rPr>
      </w:pPr>
      <w:bookmarkStart w:id="13" w:name="_Toc61956678"/>
      <w:r>
        <w:rPr>
          <w:rFonts w:hint="eastAsia" w:ascii="Times New Roman" w:hAnsi="Times New Roman" w:eastAsia="宋体"/>
        </w:rPr>
        <w:t>5.4管材与配件</w:t>
      </w:r>
      <w:bookmarkEnd w:id="13"/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（描述项目各类管道安装部位、材料、连接方式等）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采用铜制品，清扫口表面与地面平。全部给水配件均采用节水型产品。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宋体"/>
          <w:sz w:val="24"/>
          <w:lang w:val="en-US" w:eastAsia="zh-CN"/>
        </w:rPr>
      </w:pPr>
    </w:p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 5.4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</w:rPr>
        <w:t>各类用水量估算</w:t>
      </w:r>
    </w:p>
    <w:tbl>
      <w:tblPr>
        <w:tblStyle w:val="12"/>
        <w:tblW w:w="8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40"/>
        <w:gridCol w:w="4350"/>
        <w:gridCol w:w="829"/>
        <w:gridCol w:w="846"/>
        <w:gridCol w:w="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管道名称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安装部位</w:t>
            </w:r>
          </w:p>
        </w:tc>
        <w:tc>
          <w:tcPr>
            <w:tcW w:w="4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管材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连接方式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工作压力（MPa）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室内生活给水干管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吊顶、夹层、管道井、楼梯间、地下室内明装或暗设</w:t>
            </w:r>
          </w:p>
        </w:tc>
        <w:tc>
          <w:tcPr>
            <w:tcW w:w="4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冷水管道选用涂塑和衬塑钢塑复合管，也可采用无缝紫铜管（TP2牌号）、薄壁不锈钢管；热水管道选用无缝紫铜管（TP2牌号），也可采用薄壁不锈钢管。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法兰式连接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bookmarkStart w:id="14" w:name="_Toc61956679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户内生活冷热水配管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嵌墙、楼板垫层埋设或吊顶内敷设</w:t>
            </w:r>
          </w:p>
        </w:tc>
        <w:tc>
          <w:tcPr>
            <w:tcW w:w="4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冷水管选用PP-R管，也可采用PE管、铝塑PP-R 管、无缝紫铜管（TP2牌号）、薄壁不锈钢管；热水管选用PP-R管，也可采用PE-RT管、PB管、铝塑PP-R管、无缝紫铜管（TP2牌号）、薄壁不锈钢管，铜管埋墙（地）部分宜用覆塑无缝紫铜管；直饮水管道应采用薄壁不锈钢管；软水管道不宜采用铜管。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法兰式连接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生活供水设备连接管道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屋顶或机房内明装</w:t>
            </w:r>
          </w:p>
        </w:tc>
        <w:tc>
          <w:tcPr>
            <w:tcW w:w="4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加压供水设备机房、蓄水池（箱）和锅炉房冷水管道选用涂塑和衬塑钢塑复合管，管径大于150mm的冷水管道采用不锈钢管；热水管道选用无缝紫铜管或不锈钢管。与水池（箱）、水泵进出口连接的管道不得采用塑料管材。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沟槽式连接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地下埋设生活给水管道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小区道路或绿化带地下埋设</w:t>
            </w:r>
          </w:p>
        </w:tc>
        <w:tc>
          <w:tcPr>
            <w:tcW w:w="4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冷水管道选用球墨铸铁给水管，也可采用PE管、涂塑和衬塑钢塑复合管。热水给水管道选用PB管、无缝紫铜管。由于U-PVC给水管材强度低、韧性差，抗冲击力小，对地面载荷承受能力较差，容易发生管道爆裂和漏水故障，不宜用于室外埋地敷设的给水管道。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沟槽式连接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非生活给水管道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室内外各部位明装或暗敷</w:t>
            </w:r>
          </w:p>
        </w:tc>
        <w:tc>
          <w:tcPr>
            <w:tcW w:w="4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消防给水系统中的室内消火栓管道和喷淋管道，选用热镀锌钢管或热镀锌无缝钢管；室外部分还可采用球墨铸铁管、PE管（管径小于200mm时）。空调系统中的冷冻水、冷却水管道应选用热镀锌钢管或无缝钢管。景观绿化用水系统选用PE管、PPR管、热镀锌钢管、涂塑和衬塑钢塑复合管等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螺纹式连接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pStyle w:val="4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5.5阀门及附件</w:t>
      </w:r>
      <w:bookmarkEnd w:id="14"/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（描述项目各类阀门及附件的选用情况）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00"/>
        <w:jc w:val="left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合理选择供水的材质及管径，选用良好的卫生器具，控制其漏水量，选用性能好的阀门，并在阀前增设软密封闭阀，合理设置检修阀门的位置。各用水部门采用计量收费</w:t>
      </w:r>
      <w:r>
        <w:rPr>
          <w:rFonts w:hint="default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 , </w:t>
      </w: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不同用途的用水单设水表，水表安装率达</w:t>
      </w:r>
      <w:r>
        <w:rPr>
          <w:rFonts w:hint="default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 100% </w:t>
      </w: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。</w:t>
      </w:r>
    </w:p>
    <w:p>
      <w:pPr>
        <w:pStyle w:val="4"/>
        <w:rPr>
          <w:rFonts w:ascii="Times New Roman" w:hAnsi="Times New Roman" w:eastAsia="宋体"/>
        </w:rPr>
      </w:pPr>
      <w:bookmarkStart w:id="15" w:name="_Toc61956680"/>
      <w:r>
        <w:rPr>
          <w:rFonts w:hint="eastAsia" w:ascii="Times New Roman" w:hAnsi="Times New Roman" w:eastAsia="宋体"/>
        </w:rPr>
        <w:t>5.6卫生洁具及附件</w:t>
      </w:r>
      <w:bookmarkEnd w:id="15"/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（描述项目卫生洁具的选用情况）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用较高用水效率等级的卫生器具，用水效率等级达到一级。坐便器采用设有大、小便分档的冲洗水箱（ </w:t>
      </w:r>
      <w:r>
        <w:rPr>
          <w:rFonts w:hint="default" w:ascii="Times New Roman" w:hAnsi="Times New Roman" w:eastAsia="宋体"/>
          <w:sz w:val="24"/>
          <w:lang w:val="en-US" w:eastAsia="zh-CN"/>
        </w:rPr>
        <w:t>3L/4.5L </w:t>
      </w:r>
      <w:r>
        <w:rPr>
          <w:rFonts w:hint="eastAsia" w:ascii="Times New Roman" w:hAnsi="Times New Roman" w:eastAsia="宋体"/>
          <w:sz w:val="24"/>
          <w:lang w:val="en-US" w:eastAsia="zh-CN"/>
        </w:rPr>
        <w:t>）</w:t>
      </w:r>
      <w:r>
        <w:rPr>
          <w:rFonts w:hint="default" w:ascii="Times New Roman" w:hAnsi="Times New Roman" w:eastAsia="宋体"/>
          <w:sz w:val="24"/>
          <w:lang w:val="en-US" w:eastAsia="zh-CN"/>
        </w:rPr>
        <w:t> ; </w:t>
      </w:r>
      <w:r>
        <w:rPr>
          <w:rFonts w:hint="eastAsia" w:ascii="Times New Roman" w:hAnsi="Times New Roman" w:eastAsia="宋体"/>
          <w:sz w:val="24"/>
          <w:lang w:val="en-US" w:eastAsia="zh-CN"/>
        </w:rPr>
        <w:t>蹲便器采用延时自闭式冲洗阀；小便器采用应在</w:t>
      </w:r>
      <w:r>
        <w:rPr>
          <w:rFonts w:hint="default" w:ascii="Times New Roman" w:hAnsi="Times New Roman" w:eastAsia="宋体"/>
          <w:sz w:val="24"/>
          <w:lang w:val="en-US" w:eastAsia="zh-CN"/>
        </w:rPr>
        <w:t> 2S </w:t>
      </w:r>
      <w:r>
        <w:rPr>
          <w:rFonts w:hint="eastAsia" w:ascii="Times New Roman" w:hAnsi="Times New Roman" w:eastAsia="宋体"/>
          <w:sz w:val="24"/>
          <w:lang w:val="en-US" w:eastAsia="zh-CN"/>
        </w:rPr>
        <w:t>内自动止水的感应式冲洗阀</w:t>
      </w:r>
      <w:r>
        <w:rPr>
          <w:rFonts w:hint="default" w:ascii="Times New Roman" w:hAnsi="Times New Roman" w:eastAsia="宋体"/>
          <w:sz w:val="24"/>
          <w:lang w:val="en-US" w:eastAsia="zh-CN"/>
        </w:rPr>
        <w:t> , </w:t>
      </w:r>
      <w:r>
        <w:rPr>
          <w:rFonts w:hint="eastAsia" w:ascii="Times New Roman" w:hAnsi="Times New Roman" w:eastAsia="宋体"/>
          <w:sz w:val="24"/>
          <w:lang w:val="en-US" w:eastAsia="zh-CN"/>
        </w:rPr>
        <w:t>非正常供电电压下应自动断水</w:t>
      </w:r>
      <w:r>
        <w:rPr>
          <w:rFonts w:hint="default" w:ascii="Times New Roman" w:hAnsi="Times New Roman" w:eastAsia="宋体"/>
          <w:sz w:val="24"/>
          <w:lang w:val="en-US" w:eastAsia="zh-CN"/>
        </w:rPr>
        <w:t> , </w:t>
      </w:r>
      <w:r>
        <w:rPr>
          <w:rFonts w:hint="eastAsia" w:ascii="Times New Roman" w:hAnsi="Times New Roman" w:eastAsia="宋体"/>
          <w:sz w:val="24"/>
          <w:lang w:val="en-US" w:eastAsia="zh-CN"/>
        </w:rPr>
        <w:t>一次冲水量不大于</w:t>
      </w:r>
      <w:r>
        <w:rPr>
          <w:rFonts w:hint="default" w:ascii="Times New Roman" w:hAnsi="Times New Roman" w:eastAsia="宋体"/>
          <w:sz w:val="24"/>
          <w:lang w:val="en-US" w:eastAsia="zh-CN"/>
        </w:rPr>
        <w:t> 2.0L </w:t>
      </w:r>
      <w:r>
        <w:rPr>
          <w:rFonts w:hint="eastAsia" w:ascii="Times New Roman" w:hAnsi="Times New Roman" w:eastAsia="宋体"/>
          <w:sz w:val="24"/>
          <w:lang w:val="en-US" w:eastAsia="zh-CN"/>
        </w:rPr>
        <w:t>；公共场所洗手盆采用充气式感应龙头、其它洗手盆采用节能水龙头最大流量不大于</w:t>
      </w:r>
      <w:r>
        <w:rPr>
          <w:rFonts w:hint="default" w:ascii="Times New Roman" w:hAnsi="Times New Roman" w:eastAsia="宋体"/>
          <w:sz w:val="24"/>
          <w:lang w:val="en-US" w:eastAsia="zh-CN"/>
        </w:rPr>
        <w:t> 0.1L/S </w:t>
      </w:r>
      <w:r>
        <w:rPr>
          <w:rFonts w:hint="eastAsia" w:ascii="Times New Roman" w:hAnsi="Times New Roman" w:eastAsia="宋体"/>
          <w:sz w:val="24"/>
          <w:lang w:val="en-US" w:eastAsia="zh-CN"/>
        </w:rPr>
        <w:t>）</w:t>
      </w:r>
      <w:r>
        <w:rPr>
          <w:rFonts w:hint="default" w:ascii="Times New Roman" w:hAnsi="Times New Roman" w:eastAsia="宋体"/>
          <w:sz w:val="24"/>
          <w:lang w:val="en-US" w:eastAsia="zh-CN"/>
        </w:rPr>
        <w:t> ; </w:t>
      </w:r>
      <w:r>
        <w:rPr>
          <w:rFonts w:hint="eastAsia" w:ascii="Times New Roman" w:hAnsi="Times New Roman" w:eastAsia="宋体"/>
          <w:sz w:val="24"/>
          <w:lang w:val="en-US" w:eastAsia="zh-CN"/>
        </w:rPr>
        <w:t>小区内</w:t>
      </w:r>
      <w:r>
        <w:rPr>
          <w:rFonts w:hint="default" w:ascii="Times New Roman" w:hAnsi="Times New Roman" w:eastAsia="宋体"/>
          <w:sz w:val="24"/>
          <w:lang w:val="en-US" w:eastAsia="zh-CN"/>
        </w:rPr>
        <w:t> 80% </w:t>
      </w:r>
      <w:r>
        <w:rPr>
          <w:rFonts w:hint="eastAsia" w:ascii="Times New Roman" w:hAnsi="Times New Roman" w:eastAsia="宋体"/>
          <w:sz w:val="24"/>
          <w:lang w:val="en-US" w:eastAsia="zh-CN"/>
        </w:rPr>
        <w:t>面积以上地下车库以及道路冲洗采用高压水枪</w:t>
      </w:r>
      <w:r>
        <w:rPr>
          <w:rFonts w:hint="default" w:ascii="Times New Roman" w:hAnsi="Times New Roman" w:eastAsia="宋体"/>
          <w:sz w:val="24"/>
          <w:lang w:val="en-US" w:eastAsia="zh-CN"/>
        </w:rPr>
        <w:t> 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本项目选用符合以下规范的卫生洁具，具体参数见产品说明书及性能检测报告。</w:t>
      </w:r>
    </w:p>
    <w:p>
      <w:pPr>
        <w:spacing w:line="400" w:lineRule="exact"/>
        <w:ind w:firstLine="240" w:firstLineChars="1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GB/T 4288 家用和类似用途电动洗衣机</w:t>
      </w:r>
      <w:r>
        <w:rPr>
          <w:rFonts w:hint="eastAsia" w:ascii="Times New Roman" w:hAnsi="Times New Roman" w:eastAsia="宋体"/>
          <w:sz w:val="24"/>
        </w:rPr>
        <w:br w:type="textWrapping"/>
      </w:r>
      <w:r>
        <w:rPr>
          <w:rFonts w:hint="eastAsia" w:ascii="Times New Roman" w:hAnsi="Times New Roman" w:eastAsia="宋体"/>
          <w:sz w:val="24"/>
        </w:rPr>
        <w:t>    GB 6952 卫生陶瓷</w:t>
      </w:r>
      <w:r>
        <w:rPr>
          <w:rFonts w:hint="eastAsia" w:ascii="Times New Roman" w:hAnsi="Times New Roman" w:eastAsia="宋体"/>
          <w:sz w:val="24"/>
        </w:rPr>
        <w:br w:type="textWrapping"/>
      </w:r>
      <w:r>
        <w:rPr>
          <w:rFonts w:hint="eastAsia" w:ascii="Times New Roman" w:hAnsi="Times New Roman" w:eastAsia="宋体"/>
          <w:sz w:val="24"/>
        </w:rPr>
        <w:t>    GB 18145 陶瓷片密封水嘴</w:t>
      </w:r>
      <w:r>
        <w:rPr>
          <w:rFonts w:hint="eastAsia" w:ascii="Times New Roman" w:hAnsi="Times New Roman" w:eastAsia="宋体"/>
          <w:sz w:val="24"/>
        </w:rPr>
        <w:br w:type="textWrapping"/>
      </w:r>
      <w:r>
        <w:rPr>
          <w:rFonts w:hint="eastAsia" w:ascii="Times New Roman" w:hAnsi="Times New Roman" w:eastAsia="宋体"/>
          <w:sz w:val="24"/>
        </w:rPr>
        <w:t>    GB/T 23447 卫生洁具 淋浴用花洒</w:t>
      </w:r>
      <w:r>
        <w:rPr>
          <w:rFonts w:hint="eastAsia" w:ascii="Times New Roman" w:hAnsi="Times New Roman" w:eastAsia="宋体"/>
          <w:sz w:val="24"/>
        </w:rPr>
        <w:br w:type="textWrapping"/>
      </w:r>
      <w:r>
        <w:rPr>
          <w:rFonts w:hint="eastAsia" w:ascii="Times New Roman" w:hAnsi="Times New Roman" w:eastAsia="宋体"/>
          <w:sz w:val="24"/>
        </w:rPr>
        <w:t>    GB/T 23448 卫生洁具 软管</w:t>
      </w:r>
      <w:r>
        <w:rPr>
          <w:rFonts w:hint="eastAsia" w:ascii="Times New Roman" w:hAnsi="Times New Roman" w:eastAsia="宋体"/>
          <w:sz w:val="24"/>
        </w:rPr>
        <w:br w:type="textWrapping"/>
      </w:r>
      <w:r>
        <w:rPr>
          <w:rFonts w:hint="eastAsia" w:ascii="Times New Roman" w:hAnsi="Times New Roman" w:eastAsia="宋体"/>
          <w:sz w:val="24"/>
        </w:rPr>
        <w:t>    GB 26730 卫生洁具 便器用重力冲水装置及洁具机架</w:t>
      </w:r>
      <w:r>
        <w:rPr>
          <w:rFonts w:hint="eastAsia" w:ascii="Times New Roman" w:hAnsi="Times New Roman" w:eastAsia="宋体"/>
          <w:sz w:val="24"/>
        </w:rPr>
        <w:br w:type="textWrapping"/>
      </w:r>
      <w:r>
        <w:rPr>
          <w:rFonts w:hint="eastAsia" w:ascii="Times New Roman" w:hAnsi="Times New Roman" w:eastAsia="宋体"/>
          <w:sz w:val="24"/>
        </w:rPr>
        <w:t>    GB/T 26750 卫生洁具 便器用压力冲水装置</w:t>
      </w:r>
      <w:r>
        <w:rPr>
          <w:rFonts w:hint="eastAsia" w:ascii="Times New Roman" w:hAnsi="Times New Roman" w:eastAsia="宋体"/>
          <w:sz w:val="24"/>
        </w:rPr>
        <w:br w:type="textWrapping"/>
      </w:r>
      <w:r>
        <w:rPr>
          <w:rFonts w:hint="eastAsia" w:ascii="Times New Roman" w:hAnsi="Times New Roman" w:eastAsia="宋体"/>
          <w:sz w:val="24"/>
        </w:rPr>
        <w:t>    CJ/T 194 非接触式给水器具</w:t>
      </w:r>
      <w:r>
        <w:rPr>
          <w:rFonts w:hint="eastAsia" w:ascii="Times New Roman" w:hAnsi="Times New Roman" w:eastAsia="宋体"/>
          <w:sz w:val="24"/>
        </w:rPr>
        <w:br w:type="textWrapping"/>
      </w:r>
      <w:r>
        <w:rPr>
          <w:rFonts w:hint="eastAsia" w:ascii="Times New Roman" w:hAnsi="Times New Roman" w:eastAsia="宋体"/>
          <w:sz w:val="24"/>
        </w:rPr>
        <w:t>    QB/T 1334 水嘴通用技术条件</w:t>
      </w:r>
      <w:r>
        <w:rPr>
          <w:rFonts w:hint="eastAsia" w:ascii="Times New Roman" w:hAnsi="Times New Roman" w:eastAsia="宋体"/>
          <w:sz w:val="24"/>
        </w:rPr>
        <w:br w:type="textWrapping"/>
      </w:r>
      <w:r>
        <w:rPr>
          <w:rFonts w:hint="eastAsia" w:ascii="Times New Roman" w:hAnsi="Times New Roman" w:eastAsia="宋体"/>
          <w:sz w:val="24"/>
        </w:rPr>
        <w:t>    QB/T 1520 家用和类似用途电动洗碗机</w:t>
      </w:r>
    </w:p>
    <w:p>
      <w:pPr>
        <w:pStyle w:val="3"/>
        <w:rPr>
          <w:rFonts w:ascii="Times New Roman" w:hAnsi="Times New Roman" w:eastAsia="宋体"/>
        </w:rPr>
      </w:pPr>
      <w:bookmarkStart w:id="16" w:name="_Toc61956681"/>
      <w:r>
        <w:rPr>
          <w:rFonts w:hint="eastAsia" w:ascii="Times New Roman" w:hAnsi="Times New Roman" w:eastAsia="宋体"/>
        </w:rPr>
        <w:t>六、非传统水源利用方案</w:t>
      </w:r>
      <w:bookmarkEnd w:id="16"/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（描述项目非传统水源利用情况，必要时另行出具非传统水源利用报告）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本项目中水水源引自市政中水，供水压力为0.20MPa。市政中水主要用于冲厕，车库地面冲洗，绿化及浇洒道路用水等，供水水质满足《城市污水再生利用城市杂用水水质》GB/T 18920-2002 冲厕用水要求。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6</w:t>
      </w:r>
      <w:r>
        <w:rPr>
          <w:rFonts w:hint="eastAsia" w:ascii="Times New Roman" w:hAnsi="Times New Roman" w:eastAsia="宋体"/>
          <w:sz w:val="24"/>
        </w:rPr>
        <w:t>.</w:t>
      </w:r>
      <w:r>
        <w:rPr>
          <w:rFonts w:hint="eastAsia" w:ascii="Times New Roman" w:hAnsi="Times New Roman" w:eastAsia="宋体"/>
          <w:sz w:val="24"/>
          <w:lang w:val="en-US" w:eastAsia="zh-CN"/>
        </w:rPr>
        <w:t>1</w:t>
      </w:r>
      <w:r>
        <w:rPr>
          <w:rFonts w:hint="eastAsia" w:ascii="Times New Roman" w:hAnsi="Times New Roman" w:eastAsia="宋体"/>
          <w:sz w:val="24"/>
        </w:rPr>
        <w:t>非传统水源利用率计算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非传统水源利用率可通过下列公式计算: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Wux 100 %R。一w,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w。= WR+W，+ WR+Wo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式中，Ru---非传统水源利用率，%;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Wu--非传统水源设计使用量(规划设计阶段)或实际使用量(运行阶段)，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m3/a;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Wi---设计用水总量(规划设计阶段)或实际用水总量(运行阶段),m3/a;WR---再生水设计利用量(规划设计阶段)或实际利用量(运行阶段)，m3/a;W---雨水设计利用量(规划设计阶段)或实际利用量(运行阶段),m3/a;Ws---海水设计利用量(规划设计阶段)或实际利用量(运行阶段)，m3/a;W---其他非传统水源设计利用量(规划设计阶段)或实际利用量(运行阶段)，m3/a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宋体"/>
          <w:sz w:val="24"/>
        </w:rPr>
      </w:pPr>
    </w:p>
    <w:p>
      <w:pPr>
        <w:pStyle w:val="3"/>
        <w:rPr>
          <w:rFonts w:ascii="Times New Roman" w:hAnsi="Times New Roman" w:eastAsia="宋体"/>
        </w:rPr>
      </w:pPr>
      <w:bookmarkStart w:id="17" w:name="_Toc61956682"/>
      <w:r>
        <w:rPr>
          <w:rFonts w:hint="eastAsia" w:ascii="Times New Roman" w:hAnsi="Times New Roman" w:eastAsia="宋体"/>
        </w:rPr>
        <w:t>七、水量平衡</w:t>
      </w:r>
      <w:bookmarkEnd w:id="17"/>
    </w:p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 7-1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</w:rPr>
        <w:t>水量平衡计算表（单位：m³）</w:t>
      </w:r>
    </w:p>
    <w:tbl>
      <w:tblPr>
        <w:tblStyle w:val="12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873"/>
        <w:gridCol w:w="873"/>
        <w:gridCol w:w="873"/>
        <w:gridCol w:w="873"/>
        <w:gridCol w:w="802"/>
        <w:gridCol w:w="802"/>
        <w:gridCol w:w="802"/>
        <w:gridCol w:w="873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用水类别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年用水量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非传统水源利用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新水用水量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耗水量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排水量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污水量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废水量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用水定额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年用水天数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住宅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38529.4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38529.4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130L/人·d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住宅冲厕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8891.4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4445.7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30L/人·d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道路、广场浇洒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3.95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80%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0.79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0.4L/㎡·次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每年30次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绿化浇灌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82.99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80%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16.60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0.28m³/㎡·a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车库冲洗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29.64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80%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5.93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3L/㎡·次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每年30次</w:t>
            </w:r>
          </w:p>
        </w:tc>
      </w:tr>
    </w:tbl>
    <w:p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9187F"/>
    <w:multiLevelType w:val="multilevel"/>
    <w:tmpl w:val="29E9187F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CD481A"/>
    <w:multiLevelType w:val="multilevel"/>
    <w:tmpl w:val="59CD481A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72"/>
    <w:rsid w:val="004F46F2"/>
    <w:rsid w:val="00636572"/>
    <w:rsid w:val="006D31DD"/>
    <w:rsid w:val="00816E14"/>
    <w:rsid w:val="00874B4B"/>
    <w:rsid w:val="00A347B5"/>
    <w:rsid w:val="00AC2D5D"/>
    <w:rsid w:val="00B36C54"/>
    <w:rsid w:val="00C73A6B"/>
    <w:rsid w:val="00CF7525"/>
    <w:rsid w:val="00F24C09"/>
    <w:rsid w:val="02776FD5"/>
    <w:rsid w:val="073D659A"/>
    <w:rsid w:val="086A5B0F"/>
    <w:rsid w:val="0D895BE9"/>
    <w:rsid w:val="17B1104B"/>
    <w:rsid w:val="2B684079"/>
    <w:rsid w:val="2C7C427E"/>
    <w:rsid w:val="2E1F52AB"/>
    <w:rsid w:val="2EC10488"/>
    <w:rsid w:val="37660D5D"/>
    <w:rsid w:val="3848736B"/>
    <w:rsid w:val="3E22247C"/>
    <w:rsid w:val="40BB0D87"/>
    <w:rsid w:val="41263468"/>
    <w:rsid w:val="4B7128E3"/>
    <w:rsid w:val="536A7AF4"/>
    <w:rsid w:val="56552F27"/>
    <w:rsid w:val="661D6E91"/>
    <w:rsid w:val="69E3355B"/>
    <w:rsid w:val="6AC6682F"/>
    <w:rsid w:val="70182EBE"/>
    <w:rsid w:val="7872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6">
    <w:name w:val="toc 3"/>
    <w:basedOn w:val="1"/>
    <w:next w:val="1"/>
    <w:unhideWhenUsed/>
    <w:uiPriority w:val="39"/>
    <w:pPr>
      <w:ind w:left="840" w:leftChars="400"/>
    </w:p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unhideWhenUsed/>
    <w:uiPriority w:val="39"/>
    <w:pPr>
      <w:ind w:left="420" w:leftChars="200"/>
    </w:pPr>
  </w:style>
  <w:style w:type="paragraph" w:styleId="10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2 字符"/>
    <w:basedOn w:val="13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3 字符"/>
    <w:basedOn w:val="13"/>
    <w:link w:val="4"/>
    <w:uiPriority w:val="9"/>
    <w:rPr>
      <w:b/>
      <w:bCs/>
      <w:sz w:val="32"/>
      <w:szCs w:val="32"/>
    </w:rPr>
  </w:style>
  <w:style w:type="character" w:styleId="18">
    <w:name w:val="Placeholder Text"/>
    <w:basedOn w:val="13"/>
    <w:semiHidden/>
    <w:qFormat/>
    <w:uiPriority w:val="99"/>
    <w:rPr>
      <w:color w:val="808080"/>
    </w:rPr>
  </w:style>
  <w:style w:type="character" w:customStyle="1" w:styleId="19">
    <w:name w:val="页眉 字符"/>
    <w:basedOn w:val="13"/>
    <w:link w:val="8"/>
    <w:uiPriority w:val="99"/>
    <w:rPr>
      <w:sz w:val="18"/>
      <w:szCs w:val="18"/>
    </w:rPr>
  </w:style>
  <w:style w:type="character" w:customStyle="1" w:styleId="20">
    <w:name w:val="页脚 字符"/>
    <w:basedOn w:val="13"/>
    <w:link w:val="7"/>
    <w:uiPriority w:val="99"/>
    <w:rPr>
      <w:sz w:val="18"/>
      <w:szCs w:val="18"/>
    </w:rPr>
  </w:style>
  <w:style w:type="character" w:customStyle="1" w:styleId="21">
    <w:name w:val="正文文本 字符"/>
    <w:basedOn w:val="13"/>
    <w:link w:val="5"/>
    <w:uiPriority w:val="1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22">
    <w:name w:val="标题 1 字符"/>
    <w:basedOn w:val="13"/>
    <w:link w:val="2"/>
    <w:uiPriority w:val="9"/>
    <w:rPr>
      <w:b/>
      <w:bCs/>
      <w:kern w:val="44"/>
      <w:sz w:val="44"/>
      <w:szCs w:val="44"/>
    </w:rPr>
  </w:style>
  <w:style w:type="paragraph" w:customStyle="1" w:styleId="2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5D7A92-8B9F-4579-B154-871EF0AF3E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568</Words>
  <Characters>3242</Characters>
  <Lines>27</Lines>
  <Paragraphs>7</Paragraphs>
  <TotalTime>2</TotalTime>
  <ScaleCrop>false</ScaleCrop>
  <LinksUpToDate>false</LinksUpToDate>
  <CharactersWithSpaces>3803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2020-12-14T02:11:00Z</dcterms:created>
  <dc:creator>Administrator</dc:creator>
  <cp:lastModifiedBy>Vitamine✿</cp:lastModifiedBy>
  <dcterms:modified xsi:type="dcterms:W3CDTF">2022-03-06T13:58:02Z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90DF0CD5901B4081AC3C0E2A9FDE6C6A</vt:lpwstr>
  </property>
</Properties>
</file>