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right="0" w:rightChars="0"/>
        <w:jc w:val="center"/>
        <w:textAlignment w:val="auto"/>
        <w:outlineLvl w:val="9"/>
        <w:rPr>
          <w:rFonts w:hint="eastAsia" w:ascii="微软雅黑" w:hAnsi="微软雅黑" w:eastAsia="微软雅黑" w:cs="微软雅黑"/>
          <w:b/>
          <w:bCs/>
          <w:sz w:val="24"/>
          <w:szCs w:val="28"/>
          <w:lang w:eastAsia="zh-CN"/>
        </w:rPr>
      </w:pPr>
      <w:bookmarkStart w:id="0" w:name="_GoBack"/>
      <w:r>
        <w:rPr>
          <w:rFonts w:hint="eastAsia" w:ascii="微软雅黑" w:hAnsi="微软雅黑" w:eastAsia="微软雅黑" w:cs="微软雅黑"/>
          <w:b/>
          <w:bCs/>
          <w:sz w:val="24"/>
          <w:szCs w:val="28"/>
          <w:lang w:eastAsia="zh-CN"/>
        </w:rPr>
        <w:t>环境在线监测系统</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000" w:firstLineChars="2000"/>
        <w:jc w:val="both"/>
        <w:textAlignment w:val="auto"/>
        <w:outlineLvl w:val="9"/>
        <w:rPr>
          <w:rFonts w:hint="eastAsia" w:ascii="微软雅黑" w:hAnsi="微软雅黑" w:eastAsia="微软雅黑" w:cs="微软雅黑"/>
          <w:b w:val="0"/>
          <w:bCs w:val="0"/>
          <w:sz w:val="20"/>
          <w:szCs w:val="21"/>
          <w:lang w:val="en-US" w:eastAsia="zh-CN"/>
        </w:rPr>
      </w:pPr>
      <w:r>
        <w:rPr>
          <w:rFonts w:hint="eastAsia" w:ascii="微软雅黑" w:hAnsi="微软雅黑" w:eastAsia="微软雅黑" w:cs="微软雅黑"/>
          <w:b w:val="0"/>
          <w:bCs w:val="0"/>
          <w:sz w:val="20"/>
          <w:szCs w:val="21"/>
          <w:lang w:eastAsia="zh-CN"/>
        </w:rPr>
        <w:t>——之</w:t>
      </w:r>
      <w:r>
        <w:rPr>
          <w:rFonts w:hint="eastAsia" w:ascii="微软雅黑" w:hAnsi="微软雅黑" w:eastAsia="微软雅黑" w:cs="微软雅黑"/>
          <w:b w:val="0"/>
          <w:bCs w:val="0"/>
          <w:sz w:val="20"/>
          <w:szCs w:val="21"/>
          <w:lang w:val="en-US" w:eastAsia="zh-CN"/>
        </w:rPr>
        <w:t>PM2.5 PM10传感器相关说明</w:t>
      </w:r>
    </w:p>
    <w:bookmarkEnd w:id="0"/>
    <w:p>
      <w:pPr>
        <w:spacing w:line="220" w:lineRule="atLeast"/>
        <w:ind w:firstLine="420" w:firstLineChars="200"/>
        <w:rPr>
          <w:rFonts w:hint="eastAsia" w:ascii="微软雅黑" w:hAnsi="微软雅黑" w:eastAsia="微软雅黑" w:cs="微软雅黑"/>
        </w:rPr>
      </w:pPr>
      <w:r>
        <w:rPr>
          <w:rFonts w:hint="eastAsia" w:ascii="微软雅黑" w:hAnsi="微软雅黑" w:eastAsia="微软雅黑" w:cs="微软雅黑"/>
          <w:lang w:val="en-US" w:eastAsia="zh-CN"/>
        </w:rPr>
        <w:t>NE</w:t>
      </w:r>
      <w:r>
        <w:rPr>
          <w:rFonts w:hint="eastAsia" w:ascii="微软雅黑" w:hAnsi="微软雅黑" w:eastAsia="微软雅黑" w:cs="微软雅黑"/>
          <w:b/>
          <w:bCs/>
          <w:lang w:val="en-US" w:eastAsia="zh-CN"/>
        </w:rPr>
        <w:t>环境在线监测系统</w:t>
      </w:r>
      <w:r>
        <w:rPr>
          <w:rFonts w:hint="eastAsia" w:ascii="微软雅黑" w:hAnsi="微软雅黑" w:eastAsia="微软雅黑" w:cs="微软雅黑"/>
        </w:rPr>
        <w:t>使用激光散射法测量扬尘浓度。用精密流量控制的真空泵吸入大气中的测试气体送至传感器测量组件。传感器测量组件是以Gustav Mie 粒子光散射理论为基础，结合微光电探测技术而制作的一套完整的空气颗粒分布浓度测量系统。</w:t>
      </w:r>
    </w:p>
    <w:p>
      <w:pPr>
        <w:spacing w:line="220" w:lineRule="atLeast"/>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环境在线监测系统</w:t>
      </w:r>
      <w:r>
        <w:rPr>
          <w:rFonts w:hint="eastAsia" w:ascii="微软雅黑" w:hAnsi="微软雅黑" w:eastAsia="微软雅黑" w:cs="微软雅黑"/>
          <w:lang w:val="en-US" w:eastAsia="zh-CN"/>
        </w:rPr>
        <w:t>对扬尘进行连续自动监测，并实时上传至服务器供后台程序统计和分析。扬尘监测包括 PM10 和 PM2.5 两个参数，并同时实时上传到数据中心和监控平台。</w:t>
      </w:r>
    </w:p>
    <w:p>
      <w:pPr>
        <w:spacing w:line="220" w:lineRule="atLeast"/>
        <w:ind w:firstLine="420" w:firstLineChars="200"/>
        <w:rPr>
          <w:rFonts w:hint="eastAsia" w:ascii="微软雅黑" w:hAnsi="微软雅黑" w:eastAsia="微软雅黑" w:cs="微软雅黑"/>
        </w:rPr>
      </w:pPr>
      <w:r>
        <w:rPr>
          <w:rFonts w:hint="eastAsia" w:ascii="微软雅黑" w:hAnsi="微软雅黑" w:eastAsia="微软雅黑" w:cs="微软雅黑"/>
          <w:lang w:val="en-US" w:eastAsia="zh-CN"/>
        </w:rPr>
        <w:t>以下是PM2.5  PM10传感器详细参数：</w:t>
      </w:r>
    </w:p>
    <w:tbl>
      <w:tblPr>
        <w:tblStyle w:val="4"/>
        <w:tblW w:w="7590" w:type="dxa"/>
        <w:jc w:val="center"/>
        <w:tblInd w:w="0" w:type="dxa"/>
        <w:tblLayout w:type="fixed"/>
        <w:tblCellMar>
          <w:top w:w="15" w:type="dxa"/>
          <w:left w:w="15" w:type="dxa"/>
          <w:bottom w:w="15" w:type="dxa"/>
          <w:right w:w="15" w:type="dxa"/>
        </w:tblCellMar>
      </w:tblPr>
      <w:tblGrid>
        <w:gridCol w:w="2280"/>
        <w:gridCol w:w="5310"/>
      </w:tblGrid>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粒径通道</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PM2.5/PM10</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测量范围</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1.0~2.5； 2.5~10；单位um</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测量精度</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≤±10%</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分辨率</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1ug/</w:t>
            </w:r>
            <w:r>
              <w:rPr>
                <w:rFonts w:hint="eastAsia" w:ascii="微软雅黑" w:hAnsi="微软雅黑" w:eastAsia="微软雅黑" w:cs="微软雅黑"/>
                <w:kern w:val="0"/>
                <w:szCs w:val="21"/>
              </w:rPr>
              <w:t>m³</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最大有效量程</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40mg</w:t>
            </w:r>
            <w:r>
              <w:rPr>
                <w:rFonts w:hint="eastAsia" w:ascii="微软雅黑" w:hAnsi="微软雅黑" w:eastAsia="微软雅黑" w:cs="微软雅黑"/>
                <w:color w:val="FF0000"/>
                <w:kern w:val="0"/>
                <w:szCs w:val="21"/>
              </w:rPr>
              <w:t>/</w:t>
            </w:r>
            <w:r>
              <w:rPr>
                <w:rFonts w:hint="eastAsia" w:ascii="微软雅黑" w:hAnsi="微软雅黑" w:eastAsia="微软雅黑" w:cs="微软雅黑"/>
                <w:kern w:val="0"/>
                <w:szCs w:val="21"/>
              </w:rPr>
              <w:t>m³</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检测周期</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默认300s</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流速</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1L/min±5%恒定流量</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通讯方式</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TTL</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通讯协议</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私有协议</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传感器鞘气保护</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具备</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供电</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DC5V</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使用环境</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-20℃～50℃；﹤85%RH</w:t>
            </w:r>
          </w:p>
        </w:tc>
      </w:tr>
      <w:tr>
        <w:tblPrEx>
          <w:tblLayout w:type="fixed"/>
          <w:tblCellMar>
            <w:top w:w="15" w:type="dxa"/>
            <w:left w:w="15" w:type="dxa"/>
            <w:bottom w:w="15" w:type="dxa"/>
            <w:right w:w="15" w:type="dxa"/>
          </w:tblCellMar>
        </w:tblPrEx>
        <w:trPr>
          <w:trHeight w:val="285" w:hRule="atLeast"/>
          <w:jc w:val="center"/>
        </w:trPr>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室外防护等级</w:t>
            </w:r>
          </w:p>
        </w:tc>
        <w:tc>
          <w:tcPr>
            <w:tcW w:w="53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rPr>
              <w:t>IPX-6</w:t>
            </w:r>
          </w:p>
        </w:tc>
      </w:tr>
    </w:tbl>
    <w:p>
      <w:pPr>
        <w:rPr>
          <w:rFonts w:hint="eastAsia" w:ascii="微软雅黑" w:hAnsi="微软雅黑" w:eastAsia="微软雅黑" w:cs="微软雅黑"/>
          <w:lang w:eastAsia="zh-CN"/>
        </w:rPr>
      </w:pPr>
      <w:r>
        <w:rPr>
          <w:rFonts w:hint="eastAsia" w:ascii="微软雅黑" w:hAnsi="微软雅黑" w:eastAsia="微软雅黑" w:cs="微软雅黑"/>
          <w:lang w:eastAsia="zh-CN"/>
        </w:rPr>
        <w:t>实物图：</w:t>
      </w:r>
    </w:p>
    <w:p>
      <w:pPr>
        <w:jc w:val="center"/>
        <w:rPr>
          <w:rFonts w:hint="eastAsia" w:ascii="微软雅黑" w:hAnsi="微软雅黑" w:eastAsia="微软雅黑" w:cs="微软雅黑"/>
          <w:lang w:eastAsia="zh-CN"/>
        </w:rPr>
      </w:pPr>
      <w:r>
        <w:rPr>
          <w:rFonts w:hint="eastAsia" w:ascii="微软雅黑" w:hAnsi="微软雅黑" w:eastAsia="微软雅黑" w:cs="微软雅黑"/>
          <w:lang w:eastAsia="zh-CN"/>
        </w:rPr>
        <w:drawing>
          <wp:inline distT="0" distB="0" distL="114300" distR="114300">
            <wp:extent cx="3896360" cy="2597785"/>
            <wp:effectExtent l="0" t="0" r="8890" b="12065"/>
            <wp:docPr id="1" name="图片 1" descr="颗粒物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颗粒物传感器"/>
                    <pic:cNvPicPr>
                      <a:picLocks noChangeAspect="1"/>
                    </pic:cNvPicPr>
                  </pic:nvPicPr>
                  <pic:blipFill>
                    <a:blip r:embed="rId4"/>
                    <a:stretch>
                      <a:fillRect/>
                    </a:stretch>
                  </pic:blipFill>
                  <pic:spPr>
                    <a:xfrm>
                      <a:off x="0" y="0"/>
                      <a:ext cx="3896360" cy="2597785"/>
                    </a:xfrm>
                    <a:prstGeom prst="rect">
                      <a:avLst/>
                    </a:prstGeom>
                  </pic:spPr>
                </pic:pic>
              </a:graphicData>
            </a:graphic>
          </wp:inline>
        </w:drawing>
      </w:r>
    </w:p>
    <w:p>
      <w:pPr>
        <w:rPr>
          <w:rFonts w:hint="eastAsia" w:ascii="微软雅黑" w:hAnsi="微软雅黑" w:eastAsia="微软雅黑" w:cs="微软雅黑"/>
          <w:lang w:eastAsia="zh-CN"/>
        </w:rPr>
      </w:pPr>
      <w:r>
        <w:rPr>
          <w:rFonts w:hint="eastAsia" w:ascii="微软雅黑" w:hAnsi="微软雅黑" w:eastAsia="微软雅黑" w:cs="微软雅黑"/>
          <w:lang w:eastAsia="zh-CN"/>
        </w:rPr>
        <w:t>环境监测系统实物图：</w:t>
      </w:r>
    </w:p>
    <w:p>
      <w:pPr>
        <w:rPr>
          <w:rFonts w:hint="eastAsia" w:ascii="微软雅黑" w:hAnsi="微软雅黑" w:eastAsia="微软雅黑" w:cs="微软雅黑"/>
          <w:lang w:eastAsia="zh-CN"/>
        </w:rPr>
      </w:pPr>
      <w:r>
        <w:rPr>
          <w:rFonts w:ascii="宋体" w:hAnsi="宋体" w:eastAsia="宋体" w:cs="宋体"/>
          <w:sz w:val="24"/>
          <w:szCs w:val="24"/>
        </w:rPr>
        <w:drawing>
          <wp:inline distT="0" distB="0" distL="114300" distR="114300">
            <wp:extent cx="6028055" cy="4588510"/>
            <wp:effectExtent l="0" t="0" r="10795" b="254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6028055" cy="458851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E5293"/>
    <w:rsid w:val="52CE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2017-10-20T03:51:00Z</dcterms:created>
  <dc:creator>Administrator</dc:creator>
  <cp:lastModifiedBy>Administrator</cp:lastModifiedBy>
  <dcterms:modified xsi:type="dcterms:W3CDTF">2017-10-20T04:02:04Z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