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>
      <w:pPr>
        <w:numPr>
          <w:ilvl w:val="0"/>
          <w:numId w:val="0"/>
        </w:numPr>
        <w:ind w:firstLine="280" w:firstLineChars="100"/>
        <w:jc w:val="left"/>
        <w:rPr>
          <w:rFonts w:hint="eastAsia" w:ascii="Times New Roman" w:hAnsi="Times New Roman" w:cs="宋体"/>
          <w:sz w:val="21"/>
          <w:szCs w:val="21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本项目位于重庆市渝中区，重庆属于重庆地处中国西南部，东邻湖北、湖南，南靠贵州，西接四川，北连陕西；重庆市气候温和，属亚热带季风性湿润气候。主要气候特点可以概括为：冬暖春早，夏热秋凉，四季分明，无霜期长；空气湿润，降水丰沛；太阳辐射弱，日照时间短；多云雾，少霜雪；光温水同季，立体气候显着，气候资源丰富，气象灾难频繁。根据我国热工气候分区，重庆地处夏热冬冷地区，需要考虑夏季防热、冬季保温需求。重庆处于东亚季风区，又受东北西南向平行岭谷地形影响，冬季盛行偏北风，夏季则偏南风明显增多。全市累年平均风速为1.12MS。以沙坪坝站的类年资料为例，全年静风频率占41%，偏北风占39%，偏南风占16%，东风占4%，西风占2%。主导风是偏北风。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宋体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sz w:val="21"/>
          <w:szCs w:val="21"/>
          <w:lang w:val="en-US" w:eastAsia="zh-CN"/>
        </w:rPr>
        <w:t xml:space="preserve">        项目所处地段属于重庆市渝中区白象街，作为体现重庆独特文化，展现重庆独特的山城风貌的区域，始建于1992年白象居以其没有电梯，独特的垂直交通系统-剪刀梯，独特的环行步道系统成为重庆社区的一个代表。但因其建造历史悠久，属于老旧社区，部分社区功能丧失，对于当地很多居民都有活动的需求，对该项目进行一个更新改造，增补缺失功能，营造未来绿色社区，为社区人群提供一个绿色的未来生活场景。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宋体"/>
          <w:sz w:val="21"/>
          <w:szCs w:val="21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1.2.计算目的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1.3.计算依据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7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1510"/>
        <w:gridCol w:w="1670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-1270</wp:posOffset>
                      </wp:positionV>
                      <wp:extent cx="1651635" cy="168910"/>
                      <wp:effectExtent l="635" t="4445" r="8890" b="9525"/>
                      <wp:wrapNone/>
                      <wp:docPr id="1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1635" cy="1689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32" type="#_x0000_t32" style="position:absolute;left:0pt;margin-left:-5.8pt;margin-top:-0.1pt;height:13.3pt;width:130.05pt;z-index:251659264;mso-width-relative:page;mso-height-relative:page;" filled="f" stroked="t" coordsize="21600,21600" o:gfxdata="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1JiR3XAAAACAEAAA8AAAAAAAAAAQAgAAAAIgAAAGRycy9kb3ducmV2Lnht&#10;bFBLAQIUABQAAAAIAIdO4kCzDDhs+gEAAOgDAAAOAAAAAAAAAAEAIAAAACY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51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14层</w:t>
            </w:r>
          </w:p>
        </w:tc>
        <w:tc>
          <w:tcPr>
            <w:tcW w:w="167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15层</w:t>
            </w:r>
          </w:p>
        </w:tc>
        <w:tc>
          <w:tcPr>
            <w:tcW w:w="1932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16层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建筑面积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㎡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1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1178</w:t>
            </w:r>
          </w:p>
        </w:tc>
        <w:tc>
          <w:tcPr>
            <w:tcW w:w="167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1285</w:t>
            </w:r>
          </w:p>
        </w:tc>
        <w:tc>
          <w:tcPr>
            <w:tcW w:w="1932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不可变换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151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576</w:t>
            </w:r>
          </w:p>
        </w:tc>
        <w:tc>
          <w:tcPr>
            <w:tcW w:w="167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297</w:t>
            </w:r>
          </w:p>
        </w:tc>
        <w:tc>
          <w:tcPr>
            <w:tcW w:w="1932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151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602</w:t>
            </w:r>
          </w:p>
        </w:tc>
        <w:tc>
          <w:tcPr>
            <w:tcW w:w="167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932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</w:p>
        </w:tc>
        <w:tc>
          <w:tcPr>
            <w:tcW w:w="5112" w:type="dxa"/>
            <w:gridSpan w:val="3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2366</w:t>
            </w:r>
          </w:p>
        </w:tc>
      </w:tr>
    </w:tbl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活动区域</w:t>
      </w:r>
      <w:r>
        <w:rPr>
          <w:rFonts w:ascii="Times New Roman" w:hAnsi="Times New Roman" w:cs="宋体"/>
          <w:sz w:val="21"/>
          <w:szCs w:val="21"/>
          <w:lang w:eastAsia="zh-CN"/>
        </w:rPr>
        <w:t>，部分办公室和会议室必须隔断时，采用玻璃隔断。采用灵活隔断的统计面积如下表。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258"/>
        <w:gridCol w:w="1190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125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14层</w:t>
            </w:r>
          </w:p>
        </w:tc>
        <w:tc>
          <w:tcPr>
            <w:tcW w:w="119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15层</w:t>
            </w:r>
          </w:p>
        </w:tc>
        <w:tc>
          <w:tcPr>
            <w:tcW w:w="148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16层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125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402</w:t>
            </w:r>
          </w:p>
        </w:tc>
        <w:tc>
          <w:tcPr>
            <w:tcW w:w="119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688</w:t>
            </w:r>
          </w:p>
        </w:tc>
        <w:tc>
          <w:tcPr>
            <w:tcW w:w="148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合计(㎡)</w:t>
            </w:r>
          </w:p>
        </w:tc>
        <w:tc>
          <w:tcPr>
            <w:tcW w:w="3928" w:type="dxa"/>
            <w:gridSpan w:val="3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1656</w:t>
            </w:r>
          </w:p>
        </w:tc>
      </w:tr>
    </w:tbl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1656</w:t>
      </w:r>
      <w:r>
        <w:rPr>
          <w:rFonts w:ascii="Times New Roman" w:hAnsi="Times New Roman" w:cs="宋体"/>
          <w:sz w:val="21"/>
          <w:szCs w:val="21"/>
          <w:lang w:eastAsia="zh-CN"/>
        </w:rPr>
        <w:t>/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2366</w:t>
      </w:r>
      <w:r>
        <w:rPr>
          <w:rFonts w:ascii="Times New Roman" w:hAnsi="Times New Roman" w:cs="宋体"/>
          <w:sz w:val="21"/>
          <w:szCs w:val="21"/>
          <w:lang w:eastAsia="zh-CN"/>
        </w:rPr>
        <w:t>×100%=69.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9</w:t>
      </w:r>
      <w:r>
        <w:rPr>
          <w:rFonts w:ascii="Times New Roman" w:hAnsi="Times New Roman" w:cs="宋体"/>
          <w:sz w:val="21"/>
          <w:szCs w:val="21"/>
          <w:lang w:eastAsia="zh-CN"/>
        </w:rPr>
        <w:t>%；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非灵活隔断的面积比例=1-69.1%=30.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1</w:t>
      </w:r>
      <w:r>
        <w:rPr>
          <w:rFonts w:ascii="Times New Roman" w:hAnsi="Times New Roman" w:cs="宋体"/>
          <w:sz w:val="21"/>
          <w:szCs w:val="21"/>
          <w:lang w:eastAsia="zh-CN"/>
        </w:rPr>
        <w:t>%。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bookmarkStart w:id="0" w:name="_GoBack"/>
      <w:bookmarkEnd w:id="0"/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34"/>
    <w:rsid w:val="00022519"/>
    <w:rsid w:val="00897ADE"/>
    <w:rsid w:val="00900B4A"/>
    <w:rsid w:val="00E40C34"/>
    <w:rsid w:val="5D0A6153"/>
    <w:rsid w:val="773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989</Characters>
  <Lines>8</Lines>
  <Paragraphs>2</Paragraphs>
  <TotalTime>12</TotalTime>
  <ScaleCrop>false</ScaleCrop>
  <LinksUpToDate>false</LinksUpToDate>
  <CharactersWithSpaces>1160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Admin</cp:lastModifiedBy>
  <dcterms:modified xsi:type="dcterms:W3CDTF">2022-02-24T17:24:28Z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94BFAABC96264ADE987F809C0F58E0FC</vt:lpwstr>
  </property>
</Properties>
</file>