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 w:cs="宋体"/>
          <w:kern w:val="0"/>
          <w:sz w:val="24"/>
          <w:szCs w:val="24"/>
        </w:rPr>
        <w:id w:val="64697543"/>
      </w:sdtPr>
      <w:sdtEndPr>
        <w:rPr>
          <w:rFonts w:ascii="Times New Roman" w:hAnsi="Times New Roman" w:cs="Times New Roman" w:eastAsiaTheme="minorEastAsia"/>
          <w:kern w:val="0"/>
          <w:sz w:val="24"/>
          <w:szCs w:val="24"/>
        </w:rPr>
      </w:sdtEndPr>
      <w:sdtContent>
        <w:p>
          <w:pPr>
            <w:spacing w:before="234"/>
            <w:ind w:left="790" w:right="790"/>
            <w:jc w:val="center"/>
            <w:rPr>
              <w:rFonts w:ascii="宋体" w:hAnsi="宋体" w:eastAsia="宋体"/>
            </w:rPr>
          </w:pPr>
        </w:p>
        <w:p>
          <w:pPr>
            <w:spacing w:before="234"/>
            <w:ind w:left="790" w:right="790"/>
            <w:jc w:val="center"/>
            <w:rPr>
              <w:rFonts w:asciiTheme="majorEastAsia" w:hAnsiTheme="majorEastAsia" w:eastAsiaTheme="majorEastAsia" w:cstheme="majorEastAsia"/>
              <w:sz w:val="36"/>
            </w:rPr>
          </w:pPr>
          <w:r>
            <w:rPr>
              <w:rFonts w:hint="eastAsia" w:asciiTheme="majorEastAsia" w:hAnsiTheme="majorEastAsia" w:eastAsiaTheme="majorEastAsia" w:cstheme="majorEastAsia"/>
              <w:sz w:val="36"/>
              <w:lang w:val="en-US" w:eastAsia="zh-CN"/>
            </w:rPr>
            <w:t>造绿赓青——3A逸廊白象居绿色社区设计</w:t>
          </w:r>
          <w:r>
            <w:rPr>
              <w:rFonts w:hint="eastAsia" w:asciiTheme="majorEastAsia" w:hAnsiTheme="majorEastAsia" w:eastAsiaTheme="majorEastAsia" w:cstheme="majorEastAsia"/>
              <w:sz w:val="36"/>
            </w:rPr>
            <w:t>项目</w:t>
          </w:r>
        </w:p>
        <w:p>
          <w:pPr>
            <w:pStyle w:val="6"/>
            <w:rPr>
              <w:rFonts w:ascii="Calibri"/>
              <w:sz w:val="20"/>
            </w:rPr>
          </w:pPr>
        </w:p>
        <w:p>
          <w:pPr>
            <w:ind w:right="790"/>
            <w:rPr>
              <w:rFonts w:ascii="黑体" w:eastAsia="黑体"/>
              <w:b/>
              <w:bCs/>
              <w:sz w:val="48"/>
            </w:rPr>
          </w:pPr>
        </w:p>
        <w:p>
          <w:pPr>
            <w:ind w:right="790"/>
            <w:jc w:val="center"/>
            <w:rPr>
              <w:rFonts w:hint="eastAsia" w:ascii="黑体" w:eastAsia="黑体"/>
              <w:b/>
              <w:bCs/>
              <w:sz w:val="48"/>
            </w:rPr>
          </w:pPr>
          <w:r>
            <w:rPr>
              <w:rFonts w:hint="eastAsia" w:ascii="黑体" w:eastAsia="黑体"/>
              <w:b/>
              <w:bCs/>
              <w:sz w:val="48"/>
            </w:rPr>
            <w:t>可再循环材料和可再利用材料用量计算书</w:t>
          </w:r>
        </w:p>
        <w:p>
          <w:pPr>
            <w:spacing w:before="120" w:line="360" w:lineRule="auto"/>
            <w:jc w:val="center"/>
            <w:rPr>
              <w:rFonts w:ascii="宋体" w:hAnsi="宋体" w:eastAsia="宋体"/>
            </w:rPr>
          </w:pPr>
        </w:p>
        <w:p>
          <w:pPr>
            <w:jc w:val="center"/>
            <w:rPr>
              <w:lang w:val="zh-CN"/>
            </w:rPr>
          </w:pPr>
        </w:p>
        <w:p>
          <w:pPr>
            <w:jc w:val="center"/>
            <w:rPr>
              <w:lang w:val="zh-CN"/>
            </w:rPr>
          </w:pPr>
        </w:p>
        <w:p>
          <w:pPr>
            <w:jc w:val="center"/>
            <w:rPr>
              <w:lang w:val="zh-CN"/>
            </w:rPr>
          </w:pPr>
        </w:p>
        <w:p>
          <w:pPr>
            <w:rPr>
              <w:lang w:val="zh-CN"/>
            </w:rPr>
          </w:pPr>
        </w:p>
        <w:p>
          <w:pPr>
            <w:spacing w:before="120" w:line="360" w:lineRule="auto"/>
            <w:jc w:val="center"/>
            <w:rPr>
              <w:rFonts w:ascii="微软雅黑" w:hAnsi="微软雅黑" w:eastAsia="微软雅黑"/>
              <w:b/>
              <w:bCs/>
              <w:spacing w:val="60"/>
              <w:sz w:val="52"/>
            </w:rPr>
          </w:pPr>
        </w:p>
        <w:p>
          <w:pPr>
            <w:spacing w:before="120" w:line="360" w:lineRule="auto"/>
            <w:ind w:firstLine="1284"/>
            <w:jc w:val="center"/>
            <w:rPr>
              <w:rFonts w:ascii="微软雅黑" w:hAnsi="微软雅黑" w:eastAsia="微软雅黑"/>
              <w:b/>
              <w:bCs/>
              <w:spacing w:val="60"/>
              <w:sz w:val="52"/>
            </w:rPr>
          </w:pPr>
        </w:p>
        <w:p>
          <w:pPr>
            <w:adjustRightInd w:val="0"/>
            <w:snapToGrid w:val="0"/>
            <w:spacing w:before="120"/>
            <w:rPr>
              <w:rFonts w:ascii="微软雅黑" w:hAnsi="微软雅黑" w:eastAsia="微软雅黑"/>
              <w:sz w:val="24"/>
            </w:rPr>
          </w:pPr>
        </w:p>
        <w:p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</w:p>
        <w:p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</w:p>
        <w:p>
          <w:pPr>
            <w:pStyle w:val="6"/>
            <w:rPr>
              <w:rFonts w:ascii="黑体" w:eastAsia="黑体"/>
              <w:sz w:val="30"/>
              <w:szCs w:val="30"/>
            </w:rPr>
          </w:pPr>
        </w:p>
        <w:p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</w:p>
        <w:p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  <w:r>
            <w:rPr>
              <w:rFonts w:hint="eastAsia" w:ascii="黑体" w:eastAsia="黑体"/>
              <w:sz w:val="30"/>
              <w:szCs w:val="30"/>
            </w:rPr>
            <w:t>北京绿建软件股份有限公司</w:t>
          </w:r>
        </w:p>
        <w:p>
          <w:pPr>
            <w:adjustRightInd w:val="0"/>
            <w:snapToGrid w:val="0"/>
            <w:spacing w:before="120"/>
            <w:jc w:val="center"/>
            <w:rPr>
              <w:rFonts w:ascii="微软雅黑" w:hAnsi="微软雅黑" w:eastAsia="微软雅黑"/>
              <w:sz w:val="24"/>
            </w:rPr>
          </w:pPr>
          <w:r>
            <w:rPr>
              <w:rFonts w:ascii="Times New Roman" w:hAnsi="Times New Roman" w:eastAsia="黑体" w:cs="Times New Roman"/>
              <w:sz w:val="30"/>
              <w:szCs w:val="30"/>
            </w:rPr>
            <w:t>202</w:t>
          </w:r>
          <w:r>
            <w:rPr>
              <w:rFonts w:hint="eastAsia" w:ascii="Times New Roman" w:hAnsi="Times New Roman" w:eastAsia="黑体" w:cs="Times New Roman"/>
              <w:sz w:val="30"/>
              <w:szCs w:val="30"/>
            </w:rPr>
            <w:t>1</w:t>
          </w:r>
          <w:r>
            <w:rPr>
              <w:rFonts w:ascii="Times New Roman" w:hAnsi="Times New Roman" w:eastAsia="黑体" w:cs="Times New Roman"/>
              <w:sz w:val="30"/>
              <w:szCs w:val="30"/>
            </w:rPr>
            <w:t xml:space="preserve"> 年 3 月</w:t>
          </w:r>
        </w:p>
        <w:p>
          <w:pPr>
            <w:spacing w:before="120" w:line="360" w:lineRule="auto"/>
            <w:jc w:val="center"/>
            <w:rPr>
              <w:rFonts w:ascii="微软雅黑" w:hAnsi="微软雅黑" w:eastAsia="微软雅黑"/>
              <w:b/>
              <w:bCs/>
              <w:kern w:val="0"/>
              <w:sz w:val="36"/>
              <w:szCs w:val="36"/>
            </w:rPr>
          </w:pPr>
        </w:p>
        <w:p>
          <w:pPr>
            <w:jc w:val="center"/>
            <w:rPr>
              <w:rFonts w:ascii="宋体" w:hAnsi="宋体" w:eastAsia="宋体"/>
            </w:rPr>
            <w:sectPr>
              <w:headerReference r:id="rId4" w:type="first"/>
              <w:headerReference r:id="rId3" w:type="default"/>
              <w:pgSz w:w="11906" w:h="16838"/>
              <w:pgMar w:top="1701" w:right="1417" w:bottom="1417" w:left="1701" w:header="851" w:footer="992" w:gutter="0"/>
              <w:pgNumType w:start="1"/>
              <w:cols w:space="425" w:num="1"/>
              <w:titlePg/>
              <w:docGrid w:type="lines" w:linePitch="312" w:charSpace="0"/>
            </w:sectPr>
          </w:pPr>
        </w:p>
        <w:sdt>
          <w:sdtPr>
            <w:rPr>
              <w:rFonts w:ascii="宋体" w:hAnsi="宋体" w:eastAsia="宋体"/>
              <w:sz w:val="32"/>
              <w:szCs w:val="32"/>
            </w:rPr>
            <w:id w:val="147454627"/>
            <w:docPartObj>
              <w:docPartGallery w:val="Table of Contents"/>
              <w:docPartUnique/>
            </w:docPartObj>
          </w:sdtPr>
          <w:sdtEndPr>
            <w:rPr>
              <w:rFonts w:ascii="Times New Roman" w:hAnsi="Times New Roman" w:eastAsia="微软雅黑" w:cs="Times New Roman"/>
              <w:kern w:val="0"/>
              <w:sz w:val="30"/>
              <w:szCs w:val="30"/>
            </w:rPr>
          </w:sdtEndPr>
          <w:sdtContent>
            <w:p>
              <w:pPr>
                <w:jc w:val="center"/>
                <w:rPr>
                  <w:sz w:val="48"/>
                  <w:szCs w:val="48"/>
                </w:rPr>
              </w:pPr>
              <w:r>
                <w:rPr>
                  <w:rFonts w:ascii="宋体" w:hAnsi="宋体" w:eastAsia="宋体"/>
                  <w:sz w:val="48"/>
                  <w:szCs w:val="48"/>
                </w:rPr>
                <w:t>目</w:t>
              </w:r>
              <w:r>
                <w:rPr>
                  <w:rFonts w:hint="eastAsia" w:ascii="宋体" w:hAnsi="宋体" w:eastAsia="宋体"/>
                  <w:sz w:val="48"/>
                  <w:szCs w:val="48"/>
                </w:rPr>
                <w:t xml:space="preserve">  </w:t>
              </w:r>
              <w:r>
                <w:rPr>
                  <w:rFonts w:ascii="宋体" w:hAnsi="宋体" w:eastAsia="宋体"/>
                  <w:sz w:val="48"/>
                  <w:szCs w:val="48"/>
                </w:rPr>
                <w:t>录</w:t>
              </w:r>
            </w:p>
            <w:p>
              <w:pPr>
                <w:pStyle w:val="1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instrText xml:space="preserve">TOC \o "1-3" \h \u </w:instrText>
              </w: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fldChar w:fldCharType="separate"/>
              </w:r>
              <w:r>
                <w:fldChar w:fldCharType="begin"/>
              </w:r>
              <w:r>
                <w:instrText xml:space="preserve"> HYPERLINK \l "_Toc19422"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  <w:lang w:val="zh-CN"/>
                </w:rPr>
                <w:t>1.</w:t>
              </w:r>
              <w:r>
                <w:rPr>
                  <w:rFonts w:hint="eastAsia" w:ascii="Times New Roman" w:hAnsi="Times New Roman" w:cs="Times New Roman"/>
                  <w:sz w:val="30"/>
                  <w:szCs w:val="30"/>
                  <w:lang w:val="en-US" w:eastAsia="zh-CN"/>
                </w:rPr>
                <w:t>项目概况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_Toc19422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1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>
              <w:pPr>
                <w:pStyle w:val="1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"_Toc29227"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2.</w:t>
              </w:r>
              <w:r>
                <w:rPr>
                  <w:rFonts w:hint="eastAsia" w:ascii="Times New Roman" w:hAnsi="Times New Roman" w:cs="Times New Roman"/>
                  <w:sz w:val="30"/>
                  <w:szCs w:val="30"/>
                  <w:lang w:val="en-US" w:eastAsia="zh-CN"/>
                </w:rPr>
                <w:t>设计要求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_Toc29227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1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>
              <w:pPr>
                <w:pStyle w:val="1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"_Toc6199"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  <w:lang w:val="zh-CN"/>
                </w:rPr>
                <w:t>3.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计算过程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_Toc6199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1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>
              <w:pPr>
                <w:pStyle w:val="1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"_Toc359"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  <w:lang w:val="zh-CN"/>
                </w:rPr>
                <w:t>4.结论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_Toc359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2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>
              <w:pPr>
                <w:widowControl/>
                <w:spacing w:before="156" w:beforeLines="50" w:after="156" w:afterLines="50" w:line="400" w:lineRule="exact"/>
                <w:jc w:val="left"/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</w:pP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fldChar w:fldCharType="end"/>
              </w:r>
            </w:p>
          </w:sdtContent>
        </w:sdt>
        <w:p>
          <w:pPr>
            <w:widowControl/>
            <w:jc w:val="left"/>
            <w:rPr>
              <w:rFonts w:ascii="微软雅黑" w:hAnsi="微软雅黑" w:eastAsia="微软雅黑"/>
              <w:kern w:val="0"/>
              <w:sz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pStyle w:val="2"/>
            <w:tabs>
              <w:tab w:val="left" w:pos="6765"/>
              <w:tab w:val="right" w:pos="8306"/>
            </w:tabs>
            <w:spacing w:before="312" w:beforeLines="100" w:after="312" w:afterLines="100" w:line="400" w:lineRule="exact"/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val="zh-CN" w:eastAsia="zh-CN" w:bidi="ar-SA"/>
            </w:rPr>
            <w:sectPr>
              <w:footerReference r:id="rId6" w:type="first"/>
              <w:footerReference r:id="rId5" w:type="default"/>
              <w:pgSz w:w="11906" w:h="16838"/>
              <w:pgMar w:top="1440" w:right="1800" w:bottom="1440" w:left="1800" w:header="851" w:footer="992" w:gutter="0"/>
              <w:pgNumType w:start="1"/>
              <w:cols w:space="425" w:num="1"/>
              <w:docGrid w:type="lines" w:linePitch="312" w:charSpace="0"/>
            </w:sectPr>
          </w:pPr>
        </w:p>
        <w:p>
          <w:pPr>
            <w:pStyle w:val="2"/>
            <w:tabs>
              <w:tab w:val="left" w:pos="6765"/>
              <w:tab w:val="right" w:pos="8306"/>
            </w:tabs>
            <w:spacing w:before="312" w:beforeLines="100" w:after="312" w:afterLines="100" w:line="400" w:lineRule="exact"/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val="zh-CN" w:eastAsia="zh-CN" w:bidi="ar-SA"/>
            </w:rPr>
          </w:pPr>
          <w:bookmarkStart w:id="0" w:name="_Toc19422"/>
          <w:r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val="zh-CN" w:eastAsia="zh-CN" w:bidi="ar-SA"/>
            </w:rPr>
            <w:t>1.项目概况</w:t>
          </w:r>
          <w:bookmarkEnd w:id="0"/>
        </w:p>
        <w:p>
          <w:pPr>
            <w:pStyle w:val="3"/>
            <w:keepNext w:val="0"/>
            <w:keepLines w:val="0"/>
            <w:pageBreakBefore w:val="0"/>
            <w:widowControl w:val="0"/>
            <w:kinsoku w:val="0"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firstLine="0" w:firstLineChars="0"/>
            <w:jc w:val="left"/>
            <w:textAlignment w:val="auto"/>
            <w:rPr>
              <w:rFonts w:hint="eastAsia"/>
              <w:sz w:val="24"/>
              <w:szCs w:val="24"/>
              <w:highlight w:val="yellow"/>
              <w:lang w:val="en-US"/>
            </w:rPr>
          </w:pPr>
          <w:r>
            <w:rPr>
              <w:rFonts w:hint="eastAsia" w:ascii="Times New Roman" w:hAnsi="Times New Roman" w:eastAsia="宋体"/>
            </w:rPr>
            <w:t>（项目位于</w:t>
          </w:r>
          <w:r>
            <w:rPr>
              <w:rFonts w:hint="eastAsia" w:ascii="Times New Roman" w:hAnsi="Times New Roman" w:eastAsia="宋体"/>
              <w:lang w:val="en-US" w:eastAsia="zh-CN"/>
            </w:rPr>
            <w:t>重庆市渝中区</w:t>
          </w:r>
          <w:r>
            <w:rPr>
              <w:rFonts w:hint="eastAsia" w:ascii="Times New Roman" w:hAnsi="Times New Roman" w:eastAsia="宋体"/>
            </w:rPr>
            <w:t>长江滨江路。该项目总用地面积为10128平方米，建筑面积为31460平方米，总户数290，总人数1015人 。地上18层，地上面积28314平米，地下面积3146平米。）</w:t>
          </w:r>
          <w:r>
            <w:rPr>
              <w:rFonts w:hint="eastAsia" w:ascii="Times New Roman" w:hAnsi="Times New Roman" w:eastAsia="宋体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15240</wp:posOffset>
                </wp:positionV>
                <wp:extent cx="5267325" cy="2543175"/>
                <wp:effectExtent l="0" t="0" r="5715" b="1905"/>
                <wp:wrapSquare wrapText="bothSides"/>
                <wp:docPr id="2" name="图片 2" descr="d5c82f1adc641767616c0c60b636ab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2" descr="d5c82f1adc641767616c0c60b636ab0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67325" cy="2543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3"/>
            <w:keepNext w:val="0"/>
            <w:keepLines w:val="0"/>
            <w:pageBreakBefore w:val="0"/>
            <w:widowControl w:val="0"/>
            <w:kinsoku w:val="0"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firstLine="0" w:firstLineChars="0"/>
            <w:jc w:val="center"/>
            <w:textAlignment w:val="auto"/>
            <w:rPr>
              <w:highlight w:val="yellow"/>
              <w:lang w:val="en-US"/>
            </w:rPr>
          </w:pPr>
          <w:r>
            <w:rPr>
              <w:rFonts w:hint="eastAsia"/>
              <w:sz w:val="24"/>
              <w:szCs w:val="24"/>
              <w:highlight w:val="none"/>
              <w:lang w:val="en-US"/>
            </w:rPr>
            <w:t>图1.1  项目效果图</w:t>
          </w:r>
        </w:p>
        <w:p>
          <w:pPr>
            <w:pStyle w:val="2"/>
            <w:numPr>
              <w:ilvl w:val="0"/>
              <w:numId w:val="1"/>
            </w:numPr>
            <w:spacing w:before="312" w:beforeLines="100" w:after="312" w:afterLines="100" w:line="400" w:lineRule="exact"/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eastAsia="zh-CN" w:bidi="ar-SA"/>
            </w:rPr>
          </w:pPr>
          <w:r>
            <w:rPr>
              <w:rFonts w:hint="eastAsia" w:ascii="Times New Roman" w:hAnsi="Times New Roman" w:cs="Times New Roman" w:eastAsiaTheme="minorEastAsia"/>
              <w:b/>
              <w:kern w:val="2"/>
              <w:sz w:val="30"/>
              <w:szCs w:val="30"/>
              <w:lang w:val="en-US" w:eastAsia="zh-CN" w:bidi="ar-SA"/>
            </w:rPr>
            <w:t>设计要求</w:t>
          </w:r>
        </w:p>
        <w:p>
          <w:pPr>
            <w:pStyle w:val="13"/>
            <w:shd w:val="clear" w:color="auto" w:fill="FFFFFF"/>
            <w:spacing w:before="0" w:beforeAutospacing="0" w:after="0" w:afterAutospacing="0" w:line="360" w:lineRule="auto"/>
            <w:ind w:firstLine="480" w:firstLineChars="200"/>
            <w:textAlignment w:val="baseline"/>
            <w:rPr>
              <w:rFonts w:hint="eastAsia" w:ascii="Times New Roman" w:hAnsi="Times New Roman" w:cs="Times New Roman"/>
            </w:rPr>
          </w:pPr>
          <w:r>
            <w:rPr>
              <w:rFonts w:hint="eastAsia" w:ascii="Times New Roman" w:hAnsi="Times New Roman" w:cs="Times New Roman"/>
            </w:rPr>
            <w:t>建筑中采用的可再循环建筑材料和可再利用建筑材料，可以减少生产加工新材料带来的资源、能源消耗和环境污染，具有良好的经济、社会和环境效益。</w:t>
          </w:r>
        </w:p>
        <w:p>
          <w:pPr>
            <w:pStyle w:val="13"/>
            <w:shd w:val="clear" w:color="auto" w:fill="FFFFFF"/>
            <w:spacing w:before="0" w:beforeAutospacing="0" w:after="0" w:afterAutospacing="0" w:line="360" w:lineRule="auto"/>
            <w:ind w:firstLine="480" w:firstLineChars="200"/>
            <w:textAlignment w:val="baseline"/>
            <w:rPr>
              <w:rFonts w:hint="eastAsia" w:ascii="Times New Roman" w:hAnsi="Times New Roman" w:cs="Times New Roman"/>
            </w:rPr>
          </w:pPr>
          <w:r>
            <w:rPr>
              <w:rFonts w:hint="eastAsia" w:ascii="Times New Roman" w:hAnsi="Times New Roman" w:cs="Times New Roman"/>
            </w:rPr>
            <w:t>可再利用材料主要包括制品、部品或型材形式等旧建筑材料。</w:t>
          </w:r>
        </w:p>
        <w:p>
          <w:pPr>
            <w:pStyle w:val="13"/>
            <w:shd w:val="clear" w:color="auto" w:fill="FFFFFF"/>
            <w:spacing w:before="0" w:beforeAutospacing="0" w:after="0" w:afterAutospacing="0" w:line="360" w:lineRule="auto"/>
            <w:ind w:firstLine="480" w:firstLineChars="200"/>
            <w:textAlignment w:val="baseline"/>
          </w:pPr>
          <w:r>
            <w:rPr>
              <w:rFonts w:hint="eastAsia" w:ascii="Times New Roman" w:hAnsi="Times New Roman" w:cs="Times New Roman"/>
            </w:rPr>
            <w:t>可再循环材料主要包括金属材料（钢材、铜等）、玻璃、铝合金型材、石膏制品、木材。</w:t>
          </w:r>
          <w:bookmarkStart w:id="1" w:name="_Toc6199"/>
        </w:p>
      </w:sdtContent>
    </w:sdt>
    <w:p>
      <w:pPr>
        <w:widowControl/>
        <w:spacing w:before="312" w:beforeLines="100" w:after="312" w:afterLines="100" w:line="400" w:lineRule="exact"/>
        <w:jc w:val="left"/>
        <w:outlineLvl w:val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  <w:lang w:val="zh-CN"/>
        </w:rPr>
        <w:t>3.</w:t>
      </w:r>
      <w:r>
        <w:rPr>
          <w:rFonts w:hint="eastAsia" w:ascii="Times New Roman" w:hAnsi="Times New Roman" w:cs="Times New Roman"/>
          <w:b/>
          <w:sz w:val="30"/>
          <w:szCs w:val="30"/>
        </w:rPr>
        <w:t>计算过程</w:t>
      </w:r>
      <w:bookmarkEnd w:id="1"/>
    </w:p>
    <w:p>
      <w:pPr>
        <w:pStyle w:val="3"/>
        <w:ind w:firstLine="480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造绿赓青——3A逸廊白象居绿色社区设计</w:t>
      </w:r>
      <w:r>
        <w:rPr>
          <w:rFonts w:hint="eastAsia"/>
          <w:sz w:val="24"/>
          <w:lang w:val="en-GB" w:eastAsia="zh-CN"/>
        </w:rPr>
        <w:t>项目，</w:t>
      </w:r>
      <w:r>
        <w:rPr>
          <w:rFonts w:hint="eastAsia"/>
          <w:sz w:val="24"/>
          <w:lang w:val="en-US" w:eastAsia="zh-CN"/>
        </w:rPr>
        <w:t>属于居住建筑，总建筑建材用量为26536.62 t。</w:t>
      </w:r>
    </w:p>
    <w:p>
      <w:pPr>
        <w:pStyle w:val="13"/>
        <w:shd w:val="clear" w:color="auto" w:fill="FFFFFF"/>
        <w:spacing w:before="0" w:beforeAutospacing="0" w:after="0" w:afterAutospacing="0" w:line="360" w:lineRule="auto"/>
        <w:ind w:firstLine="482"/>
        <w:jc w:val="center"/>
        <w:textAlignment w:val="baseline"/>
        <w:rPr>
          <w:rFonts w:ascii="Times New Roman" w:hAnsi="Times New Roman" w:cs="Times New Roman" w:eastAsiaTheme="minorEastAsia"/>
          <w:bCs/>
        </w:rPr>
      </w:pPr>
    </w:p>
    <w:p>
      <w:pPr>
        <w:pStyle w:val="13"/>
        <w:shd w:val="clear" w:color="auto" w:fill="FFFFFF"/>
        <w:spacing w:before="0" w:beforeAutospacing="0" w:after="0" w:afterAutospacing="0" w:line="360" w:lineRule="auto"/>
        <w:ind w:firstLine="482"/>
        <w:jc w:val="center"/>
        <w:textAlignment w:val="baseline"/>
        <w:rPr>
          <w:rFonts w:ascii="Times New Roman" w:hAnsi="Times New Roman" w:cs="Times New Roman" w:eastAsiaTheme="minorEastAsia"/>
          <w:bCs/>
        </w:rPr>
      </w:pPr>
    </w:p>
    <w:p>
      <w:pPr>
        <w:pStyle w:val="13"/>
        <w:shd w:val="clear" w:color="auto" w:fill="FFFFFF"/>
        <w:spacing w:before="0" w:beforeAutospacing="0" w:after="0" w:afterAutospacing="0" w:line="360" w:lineRule="auto"/>
        <w:ind w:firstLine="482"/>
        <w:jc w:val="center"/>
        <w:textAlignment w:val="baseline"/>
        <w:rPr>
          <w:rFonts w:ascii="Times New Roman" w:hAnsi="Times New Roman" w:cs="Times New Roman" w:eastAsiaTheme="minorEastAsia"/>
          <w:bCs/>
        </w:rPr>
      </w:pPr>
    </w:p>
    <w:p>
      <w:pPr>
        <w:pStyle w:val="13"/>
        <w:shd w:val="clear" w:color="auto" w:fill="FFFFFF"/>
        <w:spacing w:before="0" w:beforeAutospacing="0" w:after="0" w:afterAutospacing="0" w:line="360" w:lineRule="auto"/>
        <w:ind w:firstLine="482"/>
        <w:jc w:val="center"/>
        <w:textAlignment w:val="baseline"/>
        <w:rPr>
          <w:rFonts w:ascii="Times New Roman" w:hAnsi="Times New Roman" w:cs="Times New Roman" w:eastAsiaTheme="minorEastAsia"/>
          <w:bCs/>
        </w:rPr>
      </w:pPr>
    </w:p>
    <w:p>
      <w:pPr>
        <w:pStyle w:val="13"/>
        <w:shd w:val="clear" w:color="auto" w:fill="FFFFFF"/>
        <w:spacing w:before="0" w:beforeAutospacing="0" w:after="0" w:afterAutospacing="0" w:line="360" w:lineRule="auto"/>
        <w:ind w:firstLine="482"/>
        <w:jc w:val="center"/>
        <w:textAlignment w:val="baseline"/>
        <w:rPr>
          <w:rFonts w:ascii="Times New Roman" w:hAnsi="Times New Roman" w:cs="Times New Roman" w:eastAsiaTheme="minorEastAsia"/>
          <w:bCs/>
        </w:rPr>
      </w:pPr>
    </w:p>
    <w:p>
      <w:pPr>
        <w:pStyle w:val="13"/>
        <w:shd w:val="clear" w:color="auto" w:fill="FFFFFF"/>
        <w:spacing w:before="0" w:beforeAutospacing="0" w:after="0" w:afterAutospacing="0" w:line="360" w:lineRule="auto"/>
        <w:ind w:firstLine="482"/>
        <w:jc w:val="center"/>
        <w:textAlignment w:val="baseline"/>
        <w:rPr>
          <w:rFonts w:ascii="Times New Roman" w:hAnsi="Times New Roman" w:cs="Times New Roman" w:eastAsiaTheme="minorEastAsia"/>
          <w:bCs/>
        </w:rPr>
      </w:pPr>
    </w:p>
    <w:p>
      <w:pPr>
        <w:pStyle w:val="13"/>
        <w:shd w:val="clear" w:color="auto" w:fill="FFFFFF"/>
        <w:spacing w:before="0" w:beforeAutospacing="0" w:after="0" w:afterAutospacing="0" w:line="360" w:lineRule="auto"/>
        <w:ind w:firstLine="482"/>
        <w:jc w:val="center"/>
        <w:textAlignment w:val="baseline"/>
        <w:rPr>
          <w:rFonts w:ascii="Times New Roman" w:hAnsi="Times New Roman" w:cs="Times New Roman"/>
          <w:bCs/>
          <w:color w:val="333333"/>
        </w:rPr>
      </w:pPr>
      <w:r>
        <w:rPr>
          <w:rFonts w:ascii="Times New Roman" w:hAnsi="Times New Roman" w:cs="Times New Roman" w:eastAsiaTheme="minorEastAsia"/>
          <w:bCs/>
        </w:rPr>
        <w:t>表</w:t>
      </w:r>
      <w:r>
        <w:rPr>
          <w:rFonts w:hint="eastAsia" w:ascii="Times New Roman" w:hAnsi="Times New Roman" w:cs="Times New Roman" w:eastAsiaTheme="minorEastAsia"/>
          <w:bCs/>
        </w:rPr>
        <w:t>3</w:t>
      </w:r>
      <w:r>
        <w:rPr>
          <w:rFonts w:ascii="Times New Roman" w:hAnsi="Times New Roman" w:cs="Times New Roman" w:eastAsiaTheme="minorEastAsia"/>
          <w:bCs/>
        </w:rPr>
        <w:t xml:space="preserve">.1  </w:t>
      </w:r>
      <w:r>
        <w:rPr>
          <w:rFonts w:hint="eastAsia" w:ascii="Times New Roman" w:hAnsi="Times New Roman" w:cs="Times New Roman" w:eastAsiaTheme="minorEastAsia"/>
          <w:bCs/>
          <w:lang w:val="en-US" w:eastAsia="zh-CN"/>
        </w:rPr>
        <w:t>建筑材料重量明细</w:t>
      </w:r>
      <w:r>
        <w:rPr>
          <w:rFonts w:hint="eastAsia" w:ascii="Times New Roman" w:hAnsi="Times New Roman" w:cs="Times New Roman" w:eastAsiaTheme="minorEastAsia"/>
          <w:bCs/>
        </w:rPr>
        <w:t>表</w:t>
      </w:r>
    </w:p>
    <w:tbl>
      <w:tblPr>
        <w:tblStyle w:val="15"/>
        <w:tblW w:w="4893" w:type="pct"/>
        <w:tblInd w:w="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1844"/>
        <w:gridCol w:w="1141"/>
        <w:gridCol w:w="1153"/>
        <w:gridCol w:w="1144"/>
        <w:gridCol w:w="1141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87" w:type="pct"/>
            <w:gridSpan w:val="2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33"/>
                <w:rFonts w:hint="eastAsia" w:eastAsia="宋体"/>
                <w:lang w:val="en-US" w:eastAsia="zh-CN" w:bidi="ar"/>
              </w:rPr>
              <w:t>建材种类</w:t>
            </w:r>
          </w:p>
        </w:tc>
        <w:tc>
          <w:tcPr>
            <w:tcW w:w="69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70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密度</w:t>
            </w:r>
          </w:p>
        </w:tc>
        <w:tc>
          <w:tcPr>
            <w:tcW w:w="701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重量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t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699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小计（t）</w:t>
            </w:r>
          </w:p>
        </w:tc>
        <w:tc>
          <w:tcPr>
            <w:tcW w:w="706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建材总重量（t）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87" w:type="pct"/>
            <w:gridSpan w:val="2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33"/>
                <w:rFonts w:hint="eastAsia" w:eastAsia="宋体"/>
                <w:lang w:val="en-US" w:eastAsia="zh-CN" w:bidi="ar"/>
              </w:rPr>
            </w:pPr>
          </w:p>
        </w:tc>
        <w:tc>
          <w:tcPr>
            <w:tcW w:w="69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m³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70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kg/m³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701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99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06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357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可再利用材料</w:t>
            </w:r>
          </w:p>
        </w:tc>
        <w:tc>
          <w:tcPr>
            <w:tcW w:w="11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旧制品</w:t>
            </w:r>
          </w:p>
        </w:tc>
        <w:tc>
          <w:tcPr>
            <w:tcW w:w="69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70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701" w:type="pct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699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15.49</w:t>
            </w:r>
          </w:p>
        </w:tc>
        <w:tc>
          <w:tcPr>
            <w:tcW w:w="706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26536.62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7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旧部品（GRC线脚m）</w:t>
            </w:r>
          </w:p>
        </w:tc>
        <w:tc>
          <w:tcPr>
            <w:tcW w:w="69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774.26</w:t>
            </w:r>
          </w:p>
        </w:tc>
        <w:tc>
          <w:tcPr>
            <w:tcW w:w="70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701" w:type="pct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15.49</w:t>
            </w:r>
          </w:p>
        </w:tc>
        <w:tc>
          <w:tcPr>
            <w:tcW w:w="699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6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57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旧型材</w:t>
            </w:r>
          </w:p>
        </w:tc>
        <w:tc>
          <w:tcPr>
            <w:tcW w:w="69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70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70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699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6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57" w:type="pct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其他可直接再利用旧建筑材料</w:t>
            </w:r>
          </w:p>
        </w:tc>
        <w:tc>
          <w:tcPr>
            <w:tcW w:w="69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70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70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699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6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57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可再循环材料</w:t>
            </w:r>
          </w:p>
        </w:tc>
        <w:tc>
          <w:tcPr>
            <w:tcW w:w="11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钢材</w:t>
            </w:r>
          </w:p>
        </w:tc>
        <w:tc>
          <w:tcPr>
            <w:tcW w:w="69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70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70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1212.43</w:t>
            </w:r>
          </w:p>
        </w:tc>
        <w:tc>
          <w:tcPr>
            <w:tcW w:w="699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1749.92</w:t>
            </w:r>
          </w:p>
        </w:tc>
        <w:tc>
          <w:tcPr>
            <w:tcW w:w="706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57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铜</w:t>
            </w:r>
          </w:p>
        </w:tc>
        <w:tc>
          <w:tcPr>
            <w:tcW w:w="69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70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70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699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6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57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木材</w:t>
            </w:r>
          </w:p>
        </w:tc>
        <w:tc>
          <w:tcPr>
            <w:tcW w:w="69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245.63</w:t>
            </w:r>
          </w:p>
        </w:tc>
        <w:tc>
          <w:tcPr>
            <w:tcW w:w="70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800</w:t>
            </w:r>
          </w:p>
        </w:tc>
        <w:tc>
          <w:tcPr>
            <w:tcW w:w="70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196.50</w:t>
            </w:r>
          </w:p>
        </w:tc>
        <w:tc>
          <w:tcPr>
            <w:tcW w:w="699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6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57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铝合金型材</w:t>
            </w:r>
          </w:p>
        </w:tc>
        <w:tc>
          <w:tcPr>
            <w:tcW w:w="69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70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70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699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6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57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石膏制品</w:t>
            </w:r>
          </w:p>
        </w:tc>
        <w:tc>
          <w:tcPr>
            <w:tcW w:w="69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70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70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699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6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57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铝合金型材及门窗玻璃（㎡）</w:t>
            </w:r>
          </w:p>
        </w:tc>
        <w:tc>
          <w:tcPr>
            <w:tcW w:w="69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6912.35</w:t>
            </w:r>
          </w:p>
        </w:tc>
        <w:tc>
          <w:tcPr>
            <w:tcW w:w="70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70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311.06</w:t>
            </w:r>
          </w:p>
        </w:tc>
        <w:tc>
          <w:tcPr>
            <w:tcW w:w="699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6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57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玻璃幕墙（㎡）</w:t>
            </w:r>
          </w:p>
        </w:tc>
        <w:tc>
          <w:tcPr>
            <w:tcW w:w="69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70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70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699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6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57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其他金属材料</w:t>
            </w:r>
          </w:p>
        </w:tc>
        <w:tc>
          <w:tcPr>
            <w:tcW w:w="69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70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70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29.93</w:t>
            </w:r>
          </w:p>
        </w:tc>
        <w:tc>
          <w:tcPr>
            <w:tcW w:w="699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6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57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其他材料</w:t>
            </w:r>
          </w:p>
        </w:tc>
        <w:tc>
          <w:tcPr>
            <w:tcW w:w="11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混凝土</w:t>
            </w:r>
          </w:p>
        </w:tc>
        <w:tc>
          <w:tcPr>
            <w:tcW w:w="69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8354.48</w:t>
            </w:r>
          </w:p>
        </w:tc>
        <w:tc>
          <w:tcPr>
            <w:tcW w:w="70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2200</w:t>
            </w:r>
          </w:p>
        </w:tc>
        <w:tc>
          <w:tcPr>
            <w:tcW w:w="70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18379.85</w:t>
            </w:r>
          </w:p>
        </w:tc>
        <w:tc>
          <w:tcPr>
            <w:tcW w:w="699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24771.22</w:t>
            </w:r>
          </w:p>
        </w:tc>
        <w:tc>
          <w:tcPr>
            <w:tcW w:w="706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57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建材砂浆</w:t>
            </w:r>
          </w:p>
        </w:tc>
        <w:tc>
          <w:tcPr>
            <w:tcW w:w="69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70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70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3766.11</w:t>
            </w:r>
          </w:p>
        </w:tc>
        <w:tc>
          <w:tcPr>
            <w:tcW w:w="699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6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57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乳胶漆（㎡）</w:t>
            </w:r>
          </w:p>
        </w:tc>
        <w:tc>
          <w:tcPr>
            <w:tcW w:w="69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70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70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20.73</w:t>
            </w:r>
          </w:p>
        </w:tc>
        <w:tc>
          <w:tcPr>
            <w:tcW w:w="699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6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0" w:hRule="atLeast"/>
        </w:trPr>
        <w:tc>
          <w:tcPr>
            <w:tcW w:w="357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屋面卷材（㎡）</w:t>
            </w:r>
          </w:p>
        </w:tc>
        <w:tc>
          <w:tcPr>
            <w:tcW w:w="69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5377.64</w:t>
            </w:r>
          </w:p>
        </w:tc>
        <w:tc>
          <w:tcPr>
            <w:tcW w:w="70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0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16.13</w:t>
            </w:r>
          </w:p>
        </w:tc>
        <w:tc>
          <w:tcPr>
            <w:tcW w:w="699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6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57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石材</w:t>
            </w:r>
          </w:p>
        </w:tc>
        <w:tc>
          <w:tcPr>
            <w:tcW w:w="69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70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70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699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6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57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砌块</w:t>
            </w:r>
          </w:p>
        </w:tc>
        <w:tc>
          <w:tcPr>
            <w:tcW w:w="69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70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70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2588.40</w:t>
            </w:r>
          </w:p>
        </w:tc>
        <w:tc>
          <w:tcPr>
            <w:tcW w:w="699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6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57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69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70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70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699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6" w:type="pct"/>
            <w:vMerge w:val="continue"/>
            <w:tcBorders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before="156" w:beforeLines="50"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注：甲方需保证所用可再循环材料其安全性、环保性均能够满足现行国家标准的相关要求。表中“其他”材料请说明名称、类型、用途。</w:t>
      </w:r>
    </w:p>
    <w:p>
      <w:pPr>
        <w:spacing w:before="156" w:beforeLines="50"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由上表，本项目建筑材料总重量为 26536.62 t，</w:t>
      </w:r>
    </w:p>
    <w:p>
      <w:pPr>
        <w:spacing w:before="156" w:beforeLines="50"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可再利用和可再循环材料重量为 1765.40 t。</w:t>
      </w:r>
    </w:p>
    <w:p>
      <w:pPr>
        <w:spacing w:before="156" w:beforeLines="50"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可再利用和可再循环材料用量比例=可再利用和可再循环材料重量/项目建筑材料总重量×100%=1765.40/26536.62×100%=6.65%</w:t>
      </w:r>
    </w:p>
    <w:p>
      <w:pPr>
        <w:spacing w:before="156" w:beforeLines="50"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lang w:val="en-US" w:eastAsia="zh-CN"/>
        </w:rPr>
      </w:pPr>
    </w:p>
    <w:p>
      <w:pPr>
        <w:pStyle w:val="2"/>
        <w:spacing w:before="312" w:beforeLines="100" w:after="312" w:afterLines="100" w:line="400" w:lineRule="exact"/>
        <w:rPr>
          <w:rFonts w:ascii="Times New Roman" w:hAnsi="Times New Roman" w:cs="Times New Roman" w:eastAsiaTheme="minorEastAsia"/>
          <w:b/>
          <w:kern w:val="2"/>
          <w:sz w:val="30"/>
          <w:szCs w:val="30"/>
          <w:lang w:val="zh-CN" w:eastAsia="zh-CN" w:bidi="ar-SA"/>
        </w:rPr>
      </w:pPr>
      <w:bookmarkStart w:id="2" w:name="_Toc359"/>
      <w:r>
        <w:rPr>
          <w:rFonts w:ascii="Times New Roman" w:hAnsi="Times New Roman" w:cs="Times New Roman" w:eastAsiaTheme="minorEastAsia"/>
          <w:b/>
          <w:kern w:val="2"/>
          <w:sz w:val="30"/>
          <w:szCs w:val="30"/>
          <w:lang w:val="zh-CN" w:eastAsia="zh-CN" w:bidi="ar-SA"/>
        </w:rPr>
        <w:t>4.结论</w:t>
      </w:r>
      <w:bookmarkEnd w:id="2"/>
    </w:p>
    <w:p>
      <w:pPr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本项目居住建筑可再利用和可再循环材料用量比例达到6%，满足《绿色建筑评价标准》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2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2"/>
          <w:lang w:val="en-US" w:eastAsia="zh-CN" w:bidi="ar-SA"/>
        </w:rPr>
        <w:instrText xml:space="preserve"> HYPERLINK "http://www.baidu.com/link?url=Yl9lnYTomwrAeswZM4GtWzBj8OXQNWpBjqjU-etrKiD-sDM2ZPYXZGh6ci8LZcwBvwpZKsey38BrUb9Ht66iP5o_O7jD6Ho5RFa4wCiTRxdMpyupml_uP6ZcakVbtYUH" \t "https://www.baidu.com/_blank" </w:instrTex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2"/>
          <w:lang w:val="en-US" w:eastAsia="zh-CN" w:bidi="ar-SA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2"/>
          <w:lang w:val="en-US" w:eastAsia="zh-CN" w:bidi="ar-SA"/>
        </w:rPr>
        <w:t>GB/T50378-2014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2"/>
          <w:lang w:val="en-US" w:eastAsia="zh-CN" w:bidi="ar-SA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>版第7.2.12和7.2.13条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的要求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2"/>
          <w:lang w:val="en-US" w:eastAsia="zh-CN" w:bidi="ar-SA"/>
        </w:rPr>
        <w:t>，本条得分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3</w:t>
      </w:r>
      <w:r>
        <w:rPr>
          <w:rFonts w:ascii="Times New Roman" w:hAnsi="Times New Roman" w:eastAsia="宋体" w:cs="Times New Roman"/>
          <w:sz w:val="24"/>
        </w:rPr>
        <w:t>分</w:t>
      </w:r>
      <w:bookmarkStart w:id="3" w:name="_GoBack"/>
      <w:bookmarkEnd w:id="3"/>
      <w:r>
        <w:rPr>
          <w:rFonts w:ascii="Times New Roman" w:hAnsi="Times New Roman" w:eastAsia="宋体" w:cs="Times New Roman"/>
          <w:sz w:val="24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8" w:afterAutospacing="0" w:line="264" w:lineRule="atLeast"/>
        <w:ind w:left="0" w:right="0" w:firstLine="0"/>
        <w:rPr>
          <w:rFonts w:ascii="Times New Roman" w:hAnsi="Times New Roman" w:eastAsia="宋体" w:cs="Times New Roman"/>
          <w:b w:val="0"/>
          <w:bCs w:val="0"/>
          <w:kern w:val="2"/>
          <w:sz w:val="24"/>
          <w:szCs w:val="22"/>
          <w:lang w:val="en-US" w:eastAsia="zh-CN" w:bidi="ar-SA"/>
        </w:rPr>
      </w:pPr>
    </w:p>
    <w:p>
      <w:pPr>
        <w:spacing w:line="400" w:lineRule="exact"/>
        <w:rPr>
          <w:rFonts w:ascii="Times New Roman" w:hAnsi="Times New Roman" w:cs="Times New Roman"/>
          <w:lang w:val="zh-CN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t>*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="Times New Roman" w:hAnsi="Times New Roman" w:cs="Times New Roman"/>
                      </w:rPr>
                    </w:pPr>
                    <w:r>
                      <w:t>*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single" w:color="auto" w:sz="4" w:space="1"/>
      </w:pBdr>
      <w:jc w:val="right"/>
      <w:rPr>
        <w:rFonts w:ascii="宋体" w:hAnsi="宋体" w:eastAsia="宋体"/>
      </w:rPr>
    </w:pPr>
    <w:r>
      <w:rPr>
        <w:rFonts w:hint="eastAsia" w:ascii="宋体" w:hAnsi="宋体" w:eastAsia="宋体" w:cs="微软雅黑"/>
        <w:sz w:val="21"/>
        <w:szCs w:val="20"/>
      </w:rPr>
      <w:t>高强度钢用量比例计算书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123008"/>
    <w:multiLevelType w:val="singleLevel"/>
    <w:tmpl w:val="9D12300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A2"/>
    <w:rsid w:val="000011E9"/>
    <w:rsid w:val="00005623"/>
    <w:rsid w:val="00011FB5"/>
    <w:rsid w:val="00026428"/>
    <w:rsid w:val="000309F4"/>
    <w:rsid w:val="00040067"/>
    <w:rsid w:val="0004382F"/>
    <w:rsid w:val="000477BD"/>
    <w:rsid w:val="000518B1"/>
    <w:rsid w:val="0005545B"/>
    <w:rsid w:val="00076C23"/>
    <w:rsid w:val="00080C0D"/>
    <w:rsid w:val="000A77B2"/>
    <w:rsid w:val="000B5F99"/>
    <w:rsid w:val="000C4D1D"/>
    <w:rsid w:val="000C5C6F"/>
    <w:rsid w:val="00105389"/>
    <w:rsid w:val="001149C0"/>
    <w:rsid w:val="001237A7"/>
    <w:rsid w:val="0016161E"/>
    <w:rsid w:val="00181F1F"/>
    <w:rsid w:val="00192071"/>
    <w:rsid w:val="001A2234"/>
    <w:rsid w:val="001E799F"/>
    <w:rsid w:val="001F1B68"/>
    <w:rsid w:val="001F3F14"/>
    <w:rsid w:val="001F4739"/>
    <w:rsid w:val="0021351D"/>
    <w:rsid w:val="00214053"/>
    <w:rsid w:val="00236C73"/>
    <w:rsid w:val="00247BE8"/>
    <w:rsid w:val="00254A5B"/>
    <w:rsid w:val="00294384"/>
    <w:rsid w:val="002B6819"/>
    <w:rsid w:val="002C5CD6"/>
    <w:rsid w:val="002C78EB"/>
    <w:rsid w:val="002D0A6E"/>
    <w:rsid w:val="002F2E40"/>
    <w:rsid w:val="0030362A"/>
    <w:rsid w:val="00306605"/>
    <w:rsid w:val="00351560"/>
    <w:rsid w:val="00376141"/>
    <w:rsid w:val="003B0C57"/>
    <w:rsid w:val="003E7CE6"/>
    <w:rsid w:val="00406761"/>
    <w:rsid w:val="004521BC"/>
    <w:rsid w:val="004649B2"/>
    <w:rsid w:val="004A1EA3"/>
    <w:rsid w:val="004B28CB"/>
    <w:rsid w:val="004D13DB"/>
    <w:rsid w:val="004D5AED"/>
    <w:rsid w:val="004F0207"/>
    <w:rsid w:val="00525779"/>
    <w:rsid w:val="00550ABD"/>
    <w:rsid w:val="00555D0F"/>
    <w:rsid w:val="00565A84"/>
    <w:rsid w:val="00566344"/>
    <w:rsid w:val="00580554"/>
    <w:rsid w:val="00586EC3"/>
    <w:rsid w:val="00592E8F"/>
    <w:rsid w:val="005930A0"/>
    <w:rsid w:val="005A4508"/>
    <w:rsid w:val="005C1B1E"/>
    <w:rsid w:val="005D71C2"/>
    <w:rsid w:val="006654CC"/>
    <w:rsid w:val="00672C28"/>
    <w:rsid w:val="00674DA2"/>
    <w:rsid w:val="00685798"/>
    <w:rsid w:val="00690C85"/>
    <w:rsid w:val="006B062B"/>
    <w:rsid w:val="006E2A78"/>
    <w:rsid w:val="00734E8B"/>
    <w:rsid w:val="00736774"/>
    <w:rsid w:val="00736DC9"/>
    <w:rsid w:val="007420AC"/>
    <w:rsid w:val="00750906"/>
    <w:rsid w:val="00757863"/>
    <w:rsid w:val="007647A3"/>
    <w:rsid w:val="00781CA7"/>
    <w:rsid w:val="007D0B57"/>
    <w:rsid w:val="007D5436"/>
    <w:rsid w:val="007E02D2"/>
    <w:rsid w:val="007E10D1"/>
    <w:rsid w:val="007F481F"/>
    <w:rsid w:val="008075BF"/>
    <w:rsid w:val="00824EF8"/>
    <w:rsid w:val="00837047"/>
    <w:rsid w:val="008457FC"/>
    <w:rsid w:val="00861C8A"/>
    <w:rsid w:val="0086304C"/>
    <w:rsid w:val="00873253"/>
    <w:rsid w:val="0087583E"/>
    <w:rsid w:val="00876AE6"/>
    <w:rsid w:val="008774EA"/>
    <w:rsid w:val="00882D1D"/>
    <w:rsid w:val="008D343F"/>
    <w:rsid w:val="008F144C"/>
    <w:rsid w:val="00907E34"/>
    <w:rsid w:val="00916B49"/>
    <w:rsid w:val="00921D57"/>
    <w:rsid w:val="00933DDA"/>
    <w:rsid w:val="009523F0"/>
    <w:rsid w:val="0096027D"/>
    <w:rsid w:val="00961486"/>
    <w:rsid w:val="00966B3C"/>
    <w:rsid w:val="00972C74"/>
    <w:rsid w:val="00997902"/>
    <w:rsid w:val="009C14B8"/>
    <w:rsid w:val="009E3D43"/>
    <w:rsid w:val="009E5910"/>
    <w:rsid w:val="009F0F16"/>
    <w:rsid w:val="009F222E"/>
    <w:rsid w:val="009F4DDA"/>
    <w:rsid w:val="00A05C38"/>
    <w:rsid w:val="00A3232A"/>
    <w:rsid w:val="00A35A6F"/>
    <w:rsid w:val="00A4420D"/>
    <w:rsid w:val="00A46CB2"/>
    <w:rsid w:val="00A61948"/>
    <w:rsid w:val="00A63F79"/>
    <w:rsid w:val="00A716D9"/>
    <w:rsid w:val="00A71B2D"/>
    <w:rsid w:val="00A81627"/>
    <w:rsid w:val="00A93EDA"/>
    <w:rsid w:val="00A97BDA"/>
    <w:rsid w:val="00AE11CA"/>
    <w:rsid w:val="00AF447E"/>
    <w:rsid w:val="00B04ECC"/>
    <w:rsid w:val="00B0692A"/>
    <w:rsid w:val="00B11A07"/>
    <w:rsid w:val="00B26231"/>
    <w:rsid w:val="00B532F0"/>
    <w:rsid w:val="00B57EBC"/>
    <w:rsid w:val="00B63CD0"/>
    <w:rsid w:val="00B65DFD"/>
    <w:rsid w:val="00B77E9C"/>
    <w:rsid w:val="00B91603"/>
    <w:rsid w:val="00BA2CDB"/>
    <w:rsid w:val="00BA697F"/>
    <w:rsid w:val="00BB2903"/>
    <w:rsid w:val="00BB6DE0"/>
    <w:rsid w:val="00BD045E"/>
    <w:rsid w:val="00C2482D"/>
    <w:rsid w:val="00C45BD8"/>
    <w:rsid w:val="00C610E3"/>
    <w:rsid w:val="00C61F56"/>
    <w:rsid w:val="00C65091"/>
    <w:rsid w:val="00C6516F"/>
    <w:rsid w:val="00C82505"/>
    <w:rsid w:val="00C94B72"/>
    <w:rsid w:val="00CA7F8A"/>
    <w:rsid w:val="00D03638"/>
    <w:rsid w:val="00D267E8"/>
    <w:rsid w:val="00D345EB"/>
    <w:rsid w:val="00D37B3A"/>
    <w:rsid w:val="00D41041"/>
    <w:rsid w:val="00D44084"/>
    <w:rsid w:val="00D71505"/>
    <w:rsid w:val="00D721F3"/>
    <w:rsid w:val="00D727DF"/>
    <w:rsid w:val="00D76938"/>
    <w:rsid w:val="00D83A1A"/>
    <w:rsid w:val="00D97789"/>
    <w:rsid w:val="00DE1887"/>
    <w:rsid w:val="00E00453"/>
    <w:rsid w:val="00E11FA2"/>
    <w:rsid w:val="00E6243B"/>
    <w:rsid w:val="00E62896"/>
    <w:rsid w:val="00E736ED"/>
    <w:rsid w:val="00E91E8C"/>
    <w:rsid w:val="00E93BD1"/>
    <w:rsid w:val="00E96957"/>
    <w:rsid w:val="00EA4ECF"/>
    <w:rsid w:val="00EA7FDB"/>
    <w:rsid w:val="00EB0C0B"/>
    <w:rsid w:val="00EC7B39"/>
    <w:rsid w:val="00EF4038"/>
    <w:rsid w:val="00F149CB"/>
    <w:rsid w:val="00F30522"/>
    <w:rsid w:val="00F56B71"/>
    <w:rsid w:val="00F57171"/>
    <w:rsid w:val="00F63210"/>
    <w:rsid w:val="00F83081"/>
    <w:rsid w:val="00F8383D"/>
    <w:rsid w:val="00F855E3"/>
    <w:rsid w:val="00F85CEC"/>
    <w:rsid w:val="00F9549B"/>
    <w:rsid w:val="00FA52D6"/>
    <w:rsid w:val="00FC3475"/>
    <w:rsid w:val="00FC6ED9"/>
    <w:rsid w:val="011B1707"/>
    <w:rsid w:val="02393F20"/>
    <w:rsid w:val="029265FC"/>
    <w:rsid w:val="030B58BF"/>
    <w:rsid w:val="03545C9A"/>
    <w:rsid w:val="037E0D1B"/>
    <w:rsid w:val="03BA6185"/>
    <w:rsid w:val="05AA797A"/>
    <w:rsid w:val="068A0E95"/>
    <w:rsid w:val="082D0330"/>
    <w:rsid w:val="082E7E18"/>
    <w:rsid w:val="09D37291"/>
    <w:rsid w:val="0ADC43E7"/>
    <w:rsid w:val="0C01346C"/>
    <w:rsid w:val="0E4E6C3C"/>
    <w:rsid w:val="0F023FA9"/>
    <w:rsid w:val="0FBB3E72"/>
    <w:rsid w:val="0FFC751B"/>
    <w:rsid w:val="10AE6FC7"/>
    <w:rsid w:val="11472E91"/>
    <w:rsid w:val="11812ADA"/>
    <w:rsid w:val="11A010B5"/>
    <w:rsid w:val="121D2E5A"/>
    <w:rsid w:val="12951598"/>
    <w:rsid w:val="150E3233"/>
    <w:rsid w:val="15D94AD5"/>
    <w:rsid w:val="181D28CF"/>
    <w:rsid w:val="191A7443"/>
    <w:rsid w:val="1AA270AE"/>
    <w:rsid w:val="1BAF42D2"/>
    <w:rsid w:val="1C090078"/>
    <w:rsid w:val="1CA3347C"/>
    <w:rsid w:val="1E916AC7"/>
    <w:rsid w:val="1F794DF8"/>
    <w:rsid w:val="1F9F0968"/>
    <w:rsid w:val="20AF5858"/>
    <w:rsid w:val="2117523C"/>
    <w:rsid w:val="2168264A"/>
    <w:rsid w:val="21F44946"/>
    <w:rsid w:val="227C27F0"/>
    <w:rsid w:val="254646E5"/>
    <w:rsid w:val="26174245"/>
    <w:rsid w:val="279302CF"/>
    <w:rsid w:val="27DB601D"/>
    <w:rsid w:val="2B5975F6"/>
    <w:rsid w:val="2C4A08ED"/>
    <w:rsid w:val="2CAA45DA"/>
    <w:rsid w:val="2D702671"/>
    <w:rsid w:val="2E5212CA"/>
    <w:rsid w:val="32B2554D"/>
    <w:rsid w:val="33DD70A5"/>
    <w:rsid w:val="34DC2802"/>
    <w:rsid w:val="362F46FC"/>
    <w:rsid w:val="36DC2E22"/>
    <w:rsid w:val="3A14479A"/>
    <w:rsid w:val="3B4F3C0C"/>
    <w:rsid w:val="3CBB48D6"/>
    <w:rsid w:val="3DF12CC9"/>
    <w:rsid w:val="3ED62B96"/>
    <w:rsid w:val="421460C8"/>
    <w:rsid w:val="43833765"/>
    <w:rsid w:val="48BB3274"/>
    <w:rsid w:val="493D7E54"/>
    <w:rsid w:val="4A745EB4"/>
    <w:rsid w:val="4CCB5F45"/>
    <w:rsid w:val="4E33279F"/>
    <w:rsid w:val="4F1D2570"/>
    <w:rsid w:val="508F6A10"/>
    <w:rsid w:val="514A4F90"/>
    <w:rsid w:val="51962FDC"/>
    <w:rsid w:val="51C41C05"/>
    <w:rsid w:val="525B6F9B"/>
    <w:rsid w:val="527E6314"/>
    <w:rsid w:val="53856385"/>
    <w:rsid w:val="554743C5"/>
    <w:rsid w:val="56C8214C"/>
    <w:rsid w:val="57745FEF"/>
    <w:rsid w:val="5908372B"/>
    <w:rsid w:val="59981AA8"/>
    <w:rsid w:val="59D56836"/>
    <w:rsid w:val="5B5A24EC"/>
    <w:rsid w:val="5C6A7DB9"/>
    <w:rsid w:val="5C9F6956"/>
    <w:rsid w:val="5CB71570"/>
    <w:rsid w:val="5E7B094C"/>
    <w:rsid w:val="5EE1754B"/>
    <w:rsid w:val="5F737FFC"/>
    <w:rsid w:val="608C4D4D"/>
    <w:rsid w:val="61233805"/>
    <w:rsid w:val="6173388D"/>
    <w:rsid w:val="61C334CF"/>
    <w:rsid w:val="61D73FA7"/>
    <w:rsid w:val="6452519C"/>
    <w:rsid w:val="64F06B1D"/>
    <w:rsid w:val="65A72D16"/>
    <w:rsid w:val="66450A13"/>
    <w:rsid w:val="67FC4EF5"/>
    <w:rsid w:val="69E00128"/>
    <w:rsid w:val="6A3647CD"/>
    <w:rsid w:val="6A6827CC"/>
    <w:rsid w:val="6A916857"/>
    <w:rsid w:val="6C6D00BC"/>
    <w:rsid w:val="6CDA262E"/>
    <w:rsid w:val="6D386C7A"/>
    <w:rsid w:val="6DD36373"/>
    <w:rsid w:val="6E94526A"/>
    <w:rsid w:val="6EB8481A"/>
    <w:rsid w:val="6F320F27"/>
    <w:rsid w:val="6F39588E"/>
    <w:rsid w:val="6F6669EE"/>
    <w:rsid w:val="6F6737A1"/>
    <w:rsid w:val="6F801561"/>
    <w:rsid w:val="703650BC"/>
    <w:rsid w:val="717B45F7"/>
    <w:rsid w:val="71C75E8C"/>
    <w:rsid w:val="734871CA"/>
    <w:rsid w:val="73AD3D1A"/>
    <w:rsid w:val="75405CC6"/>
    <w:rsid w:val="759D410F"/>
    <w:rsid w:val="75E55280"/>
    <w:rsid w:val="77142274"/>
    <w:rsid w:val="79F94BE9"/>
    <w:rsid w:val="7AFB663E"/>
    <w:rsid w:val="7BF01F78"/>
    <w:rsid w:val="7C25685C"/>
    <w:rsid w:val="7C5C2A2B"/>
    <w:rsid w:val="7D9D72E5"/>
    <w:rsid w:val="7E356140"/>
    <w:rsid w:val="7E5C4E51"/>
    <w:rsid w:val="7F144E7E"/>
    <w:rsid w:val="7FAC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link w:val="19"/>
    <w:qFormat/>
    <w:uiPriority w:val="9"/>
    <w:pPr>
      <w:keepNext/>
      <w:keepLines/>
      <w:widowControl/>
      <w:spacing w:before="480" w:line="360" w:lineRule="auto"/>
      <w:jc w:val="left"/>
      <w:outlineLvl w:val="0"/>
    </w:pPr>
    <w:rPr>
      <w:rFonts w:eastAsia="黑体" w:asciiTheme="majorHAnsi" w:hAnsiTheme="majorHAnsi" w:cstheme="majorBidi"/>
      <w:bCs/>
      <w:kern w:val="0"/>
      <w:sz w:val="32"/>
      <w:szCs w:val="28"/>
      <w:lang w:eastAsia="en-US" w:bidi="en-US"/>
    </w:rPr>
  </w:style>
  <w:style w:type="paragraph" w:styleId="4">
    <w:name w:val="heading 2"/>
    <w:basedOn w:val="1"/>
    <w:next w:val="3"/>
    <w:link w:val="2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kinsoku w:val="0"/>
      <w:spacing w:line="400" w:lineRule="atLeast"/>
      <w:ind w:firstLine="200" w:firstLineChars="200"/>
    </w:pPr>
    <w:rPr>
      <w:rFonts w:ascii="Times New Roman" w:hAnsi="Times New Roman" w:eastAsia="宋体" w:cs="Times New Roman"/>
      <w:szCs w:val="21"/>
      <w:lang w:val="en-GB"/>
    </w:r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paragraph" w:styleId="7">
    <w:name w:val="Body Text Indent"/>
    <w:basedOn w:val="1"/>
    <w:link w:val="20"/>
    <w:qFormat/>
    <w:uiPriority w:val="0"/>
    <w:pPr>
      <w:spacing w:line="360" w:lineRule="auto"/>
      <w:ind w:firstLine="200" w:firstLineChars="200"/>
      <w:jc w:val="left"/>
    </w:pPr>
    <w:rPr>
      <w:rFonts w:ascii="宋体" w:hAnsi="宋体" w:eastAsia="宋体" w:cs="Times New Roman"/>
      <w:sz w:val="24"/>
      <w:szCs w:val="24"/>
    </w:rPr>
  </w:style>
  <w:style w:type="paragraph" w:styleId="8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semiHidden/>
    <w:unhideWhenUsed/>
    <w:qFormat/>
    <w:uiPriority w:val="39"/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Char"/>
    <w:basedOn w:val="17"/>
    <w:link w:val="2"/>
    <w:qFormat/>
    <w:uiPriority w:val="9"/>
    <w:rPr>
      <w:rFonts w:eastAsia="黑体" w:asciiTheme="majorHAnsi" w:hAnsiTheme="majorHAnsi" w:cstheme="majorBidi"/>
      <w:bCs/>
      <w:kern w:val="0"/>
      <w:sz w:val="32"/>
      <w:szCs w:val="28"/>
      <w:lang w:eastAsia="en-US" w:bidi="en-US"/>
    </w:rPr>
  </w:style>
  <w:style w:type="character" w:customStyle="1" w:styleId="20">
    <w:name w:val="正文文本缩进 Char"/>
    <w:basedOn w:val="17"/>
    <w:link w:val="7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1">
    <w:name w:val="标题 2 Char"/>
    <w:basedOn w:val="17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页眉 Char"/>
    <w:basedOn w:val="17"/>
    <w:link w:val="10"/>
    <w:qFormat/>
    <w:uiPriority w:val="99"/>
    <w:rPr>
      <w:sz w:val="18"/>
      <w:szCs w:val="18"/>
    </w:rPr>
  </w:style>
  <w:style w:type="character" w:customStyle="1" w:styleId="23">
    <w:name w:val="页脚 Char"/>
    <w:basedOn w:val="17"/>
    <w:link w:val="9"/>
    <w:qFormat/>
    <w:uiPriority w:val="99"/>
    <w:rPr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styleId="25">
    <w:name w:val="Placeholder Text"/>
    <w:basedOn w:val="17"/>
    <w:semiHidden/>
    <w:qFormat/>
    <w:uiPriority w:val="99"/>
    <w:rPr>
      <w:color w:val="808080"/>
    </w:rPr>
  </w:style>
  <w:style w:type="paragraph" w:styleId="26">
    <w:name w:val="No Spacing"/>
    <w:link w:val="27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7">
    <w:name w:val="无间隔 Char"/>
    <w:basedOn w:val="17"/>
    <w:link w:val="26"/>
    <w:qFormat/>
    <w:uiPriority w:val="1"/>
    <w:rPr>
      <w:kern w:val="0"/>
      <w:sz w:val="22"/>
    </w:rPr>
  </w:style>
  <w:style w:type="character" w:customStyle="1" w:styleId="28">
    <w:name w:val="标题 3 Char"/>
    <w:basedOn w:val="17"/>
    <w:link w:val="5"/>
    <w:semiHidden/>
    <w:qFormat/>
    <w:uiPriority w:val="9"/>
    <w:rPr>
      <w:b/>
      <w:bCs/>
      <w:sz w:val="32"/>
      <w:szCs w:val="32"/>
    </w:rPr>
  </w:style>
  <w:style w:type="paragraph" w:customStyle="1" w:styleId="29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0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1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2">
    <w:name w:val="Table Paragraph"/>
    <w:basedOn w:val="1"/>
    <w:qFormat/>
    <w:uiPriority w:val="1"/>
    <w:pPr>
      <w:spacing w:before="57"/>
      <w:jc w:val="center"/>
    </w:pPr>
    <w:rPr>
      <w:rFonts w:ascii="宋体" w:hAnsi="宋体" w:eastAsia="宋体" w:cs="宋体"/>
      <w:lang w:val="zh-CN" w:bidi="zh-CN"/>
    </w:rPr>
  </w:style>
  <w:style w:type="character" w:customStyle="1" w:styleId="33">
    <w:name w:val="font21"/>
    <w:basedOn w:val="17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34">
    <w:name w:val="font11"/>
    <w:basedOn w:val="1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5">
    <w:name w:val="批注框文本 Char"/>
    <w:basedOn w:val="17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verPageProperties xmlns="http://schemas.microsoft.com/office/2006/coverPageProps">
  <PublishDate>2018-05-25T00:00:00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930</Characters>
  <Lines>7</Lines>
  <Paragraphs>2</Paragraphs>
  <TotalTime>2</TotalTime>
  <ScaleCrop>false</ScaleCrop>
  <LinksUpToDate>false</LinksUpToDate>
  <CharactersWithSpaces>1090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2014-04-17T06:46:00Z</dcterms:created>
  <dc:creator>sukie</dc:creator>
  <cp:lastModifiedBy>Vitamine✿</cp:lastModifiedBy>
  <cp:lastPrinted>2018-06-06T07:38:00Z</cp:lastPrinted>
  <dcterms:modified xsi:type="dcterms:W3CDTF">2022-03-12T06:46:02Z</dcterms:modified>
  <dc:title>ronglv</dc:title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9D7BE58154B64AB683BD5CF8693690B5</vt:lpwstr>
  </property>
</Properties>
</file>