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pStyle w:val="5"/>
            <w:bidi w:val="0"/>
          </w:pPr>
        </w:p>
        <w:p>
          <w:pPr>
            <w:spacing w:before="234"/>
            <w:ind w:left="790" w:right="790"/>
            <w:jc w:val="center"/>
            <w:rPr>
              <w:rFonts w:ascii="Calibri"/>
              <w:sz w:val="20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  <w:lang w:val="en-US" w:eastAsia="zh-CN"/>
            </w:rPr>
            <w:t>造绿赓青——3A逸廊白象居绿色社区设计</w: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项目</w:t>
          </w: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预制构件用量比例计算书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"_Toc5429"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_Toc5429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"_Toc2636"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_Toc2636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"_Toc18318"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_Toc18318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"_Toc20388"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_Toc20388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bookmarkStart w:id="0" w:name="_Toc5429"/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left"/>
            <w:textAlignment w:val="auto"/>
            <w:rPr>
              <w:rFonts w:hint="eastAsia"/>
              <w:sz w:val="24"/>
              <w:szCs w:val="24"/>
              <w:highlight w:val="yellow"/>
              <w:lang w:val="en-US"/>
            </w:rPr>
          </w:pPr>
          <w:r>
            <w:rPr>
              <w:rFonts w:hint="eastAsia" w:ascii="Times New Roman" w:hAnsi="Times New Roman" w:eastAsia="宋体"/>
            </w:rPr>
            <w:t>（项目位于</w:t>
          </w:r>
          <w:r>
            <w:rPr>
              <w:rFonts w:hint="eastAsia" w:ascii="Times New Roman" w:hAnsi="Times New Roman" w:eastAsia="宋体"/>
              <w:lang w:val="en-US" w:eastAsia="zh-CN"/>
            </w:rPr>
            <w:t>重庆市渝中区</w:t>
          </w:r>
          <w:r>
            <w:rPr>
              <w:rFonts w:hint="eastAsia" w:ascii="Times New Roman" w:hAnsi="Times New Roman" w:eastAsia="宋体"/>
            </w:rPr>
            <w:t>长江滨江路。该项目总用地面积为10128平方米，建筑面积为31460平方米，总户数290，总人数1015人 。地上18层，地上面积28314平米，地下面积3146平米。）</w:t>
          </w:r>
          <w:r>
            <w:rPr>
              <w:rFonts w:hint="eastAsia" w:ascii="Times New Roman" w:hAnsi="Times New Roman" w:eastAsia="宋体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5267325" cy="2543175"/>
                <wp:effectExtent l="0" t="0" r="5715" b="1905"/>
                <wp:wrapSquare wrapText="bothSides"/>
                <wp:docPr id="2" name="图片 2" descr="d5c82f1adc641767616c0c60b636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d5c82f1adc641767616c0c60b636ab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center"/>
            <w:textAlignment w:val="auto"/>
            <w:rPr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none"/>
              <w:lang w:val="en-US"/>
            </w:rPr>
            <w:t>图1.1  项目效果图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360" w:lineRule="auto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2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>
            <w:rPr>
              <w:rFonts w:hint="eastAsia" w:ascii="Times New Roman" w:hAnsi="Times New Roman" w:cs="Times New Roman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>
            <w:rPr>
              <w:rFonts w:hint="eastAsia" w:ascii="Times New Roman" w:hAnsi="Times New Roman" w:cs="Times New Roman"/>
              <w:b/>
              <w:bCs/>
            </w:rPr>
            <w:t>主体结构采用装配式混凝土结构，地上部分预制构件应用混凝土体积占混凝土总体积的比例达到35%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0%，得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”。</w:t>
          </w:r>
        </w:p>
      </w:sdtContent>
    </w:sdt>
    <w:p>
      <w:pPr>
        <w:widowControl/>
        <w:spacing w:before="312" w:beforeLines="100" w:after="312" w:afterLines="100" w:line="360" w:lineRule="auto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spacing w:line="360" w:lineRule="auto"/>
        <w:ind w:firstLine="480"/>
        <w:rPr>
          <w:sz w:val="24"/>
        </w:rPr>
      </w:pPr>
      <w:r>
        <w:rPr>
          <w:sz w:val="24"/>
        </w:rPr>
        <w:t>预制构件包括各种结构构件和非结构构件,如预制梁、预制柱、预制墙板、预制阳台板、预制楼梯、雨棚、栏杆等.在保证安全的前提下,使用工厂化方式生产的预制构件,既能减少材料浪费,又能减少施工对环境的影响,同时可为将来建筑拆除后构件的替换和再利用创造条件。</w:t>
      </w:r>
    </w:p>
    <w:p>
      <w:pPr>
        <w:pStyle w:val="3"/>
        <w:spacing w:line="360" w:lineRule="auto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预制构件用量比例是指建筑室外地坪以上的主体结构和围护结构中,预制构件部分的混凝土用量占对应部分混凝土总用量的体积比。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 w:eastAsiaTheme="minorEastAsia"/>
          <w:bCs/>
        </w:rPr>
      </w:pP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预制构件用量比例计算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23"/>
        <w:gridCol w:w="791"/>
        <w:gridCol w:w="1236"/>
        <w:gridCol w:w="1403"/>
        <w:gridCol w:w="1009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3056.112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7640.28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501.276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1253.19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1872.148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4680.37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54981.724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137454.31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4261.076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10652.69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5170.656</w:t>
            </w:r>
            <w:bookmarkStart w:id="4" w:name="_GoBack"/>
            <w:bookmarkEnd w:id="4"/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12926.64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45607.48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混凝土总重量t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88045.32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比例%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51.8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2"/>
        <w:spacing w:before="312" w:beforeLines="100" w:after="312" w:afterLines="100" w:line="360" w:lineRule="auto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经计算，本项目居建采用的预制构件用量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45607.48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t，该部分混凝土总用量为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88045.32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t，预制构件用量比例为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51.8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%，达到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%，满足《绿色建筑评价标准》（GB 50378-2019）第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9.2.5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条得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10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561170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4551F30"/>
    <w:rsid w:val="48BB3274"/>
    <w:rsid w:val="4A745EB4"/>
    <w:rsid w:val="4BD3669E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67C3755"/>
    <w:rsid w:val="67837DC6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19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19">
    <w:name w:val="正文文本缩进 字符"/>
    <w:basedOn w:val="16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0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styleId="24">
    <w:name w:val="Placeholder Text"/>
    <w:basedOn w:val="16"/>
    <w:semiHidden/>
    <w:qFormat/>
    <w:uiPriority w:val="99"/>
    <w:rPr>
      <w:color w:val="808080"/>
    </w:rPr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6"/>
    <w:link w:val="25"/>
    <w:qFormat/>
    <w:uiPriority w:val="1"/>
    <w:rPr>
      <w:kern w:val="0"/>
      <w:sz w:val="22"/>
    </w:rPr>
  </w:style>
  <w:style w:type="character" w:customStyle="1" w:styleId="27">
    <w:name w:val="标题 3 字符"/>
    <w:basedOn w:val="16"/>
    <w:link w:val="5"/>
    <w:semiHidden/>
    <w:qFormat/>
    <w:uiPriority w:val="9"/>
    <w:rPr>
      <w:b/>
      <w:bCs/>
      <w:sz w:val="32"/>
      <w:szCs w:val="32"/>
    </w:rPr>
  </w:style>
  <w:style w:type="paragraph" w:customStyle="1" w:styleId="2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885</Characters>
  <Lines>7</Lines>
  <Paragraphs>2</Paragraphs>
  <TotalTime>35</TotalTime>
  <ScaleCrop>false</ScaleCrop>
  <LinksUpToDate>false</LinksUpToDate>
  <CharactersWithSpaces>1038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Vitamine✿</cp:lastModifiedBy>
  <cp:lastPrinted>2018-06-06T07:38:00Z</cp:lastPrinted>
  <dcterms:modified xsi:type="dcterms:W3CDTF">2022-03-12T08:27:45Z</dcterms:modified>
  <dc:title>ronglv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FA5088BA4433471E86AB9E81DC517B6F</vt:lpwstr>
  </property>
</Properties>
</file>