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jc w:val="center"/>
        <w:rPr>
          <w:rFonts w:hint="eastAsia" w:ascii="Arial" w:hAnsi="Arial" w:cs="Arial"/>
          <w:b/>
          <w:bCs/>
          <w:i w:val="0"/>
          <w:caps w:val="0"/>
          <w:color w:val="333333"/>
          <w:spacing w:val="0"/>
          <w:sz w:val="32"/>
          <w:szCs w:val="32"/>
        </w:rPr>
      </w:pPr>
      <w:r>
        <w:rPr>
          <w:rFonts w:hint="default" w:ascii="Arial" w:hAnsi="Arial" w:cs="Arial"/>
          <w:b/>
          <w:bCs/>
          <w:i w:val="0"/>
          <w:caps w:val="0"/>
          <w:color w:val="333333"/>
          <w:spacing w:val="0"/>
          <w:sz w:val="32"/>
          <w:szCs w:val="32"/>
          <w:bdr w:val="none" w:color="auto" w:sz="0" w:space="0"/>
          <w:shd w:val="clear" w:fill="FFFFFF"/>
        </w:rPr>
        <w:t>电气设计说明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1、设计依据</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1.1、建筑概况：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本工程为</w:t>
      </w:r>
      <w:r>
        <w:rPr>
          <w:rFonts w:hint="eastAsia" w:ascii="Arial" w:hAnsi="Arial" w:cs="Arial"/>
          <w:i w:val="0"/>
          <w:caps w:val="0"/>
          <w:color w:val="333333"/>
          <w:spacing w:val="0"/>
          <w:sz w:val="18"/>
          <w:szCs w:val="18"/>
          <w:bdr w:val="none" w:color="auto" w:sz="0" w:space="0"/>
          <w:shd w:val="clear" w:fill="FFFFFF"/>
          <w:lang w:val="en-US" w:eastAsia="zh-CN"/>
        </w:rPr>
        <w:t>居民楼改造，</w:t>
      </w:r>
      <w:r>
        <w:rPr>
          <w:rFonts w:hint="default" w:ascii="Arial" w:hAnsi="Arial" w:cs="Arial"/>
          <w:i w:val="0"/>
          <w:caps w:val="0"/>
          <w:color w:val="333333"/>
          <w:spacing w:val="0"/>
          <w:sz w:val="18"/>
          <w:szCs w:val="18"/>
          <w:bdr w:val="none" w:color="auto" w:sz="0" w:space="0"/>
          <w:shd w:val="clear" w:fill="FFFFFF"/>
        </w:rPr>
        <w:t>位于</w:t>
      </w:r>
      <w:r>
        <w:rPr>
          <w:rFonts w:hint="eastAsia" w:ascii="Arial" w:hAnsi="Arial" w:cs="Arial"/>
          <w:i w:val="0"/>
          <w:caps w:val="0"/>
          <w:color w:val="333333"/>
          <w:spacing w:val="0"/>
          <w:sz w:val="18"/>
          <w:szCs w:val="18"/>
          <w:bdr w:val="none" w:color="auto" w:sz="0" w:space="0"/>
          <w:shd w:val="clear" w:fill="FFFFFF"/>
          <w:lang w:val="en-US" w:eastAsia="zh-CN"/>
        </w:rPr>
        <w:t>重庆市渝中区</w:t>
      </w:r>
      <w:r>
        <w:rPr>
          <w:rFonts w:hint="default" w:ascii="Arial" w:hAnsi="Arial" w:cs="Arial"/>
          <w:i w:val="0"/>
          <w:caps w:val="0"/>
          <w:color w:val="333333"/>
          <w:spacing w:val="0"/>
          <w:sz w:val="18"/>
          <w:szCs w:val="18"/>
          <w:bdr w:val="none" w:color="auto" w:sz="0" w:space="0"/>
          <w:shd w:val="clear" w:fill="FFFFFF"/>
        </w:rPr>
        <w:t>，</w:t>
      </w:r>
      <w:r>
        <w:rPr>
          <w:rFonts w:hint="default" w:ascii="Arial" w:hAnsi="Arial" w:cs="Arial"/>
          <w:i w:val="0"/>
          <w:caps w:val="0"/>
          <w:color w:val="333333"/>
          <w:spacing w:val="0"/>
          <w:sz w:val="18"/>
          <w:szCs w:val="18"/>
          <w:shd w:val="clear" w:fill="FFFFFF"/>
        </w:rPr>
        <w:t>该项目总用地面积为</w:t>
      </w:r>
      <w:r>
        <w:rPr>
          <w:rFonts w:hint="eastAsia" w:ascii="Arial" w:hAnsi="Arial" w:cs="Arial"/>
          <w:i w:val="0"/>
          <w:caps w:val="0"/>
          <w:color w:val="333333"/>
          <w:spacing w:val="0"/>
          <w:sz w:val="18"/>
          <w:szCs w:val="18"/>
          <w:shd w:val="clear" w:fill="FFFFFF"/>
          <w:lang w:val="en-US" w:eastAsia="zh-CN"/>
        </w:rPr>
        <w:t>12128</w:t>
      </w:r>
      <w:r>
        <w:rPr>
          <w:rFonts w:hint="default" w:ascii="Arial" w:hAnsi="Arial" w:cs="Arial"/>
          <w:i w:val="0"/>
          <w:caps w:val="0"/>
          <w:color w:val="333333"/>
          <w:spacing w:val="0"/>
          <w:sz w:val="18"/>
          <w:szCs w:val="18"/>
          <w:shd w:val="clear" w:fill="FFFFFF"/>
        </w:rPr>
        <w:t>平方米，建筑面积为 26953.05平方米</w:t>
      </w:r>
      <w:r>
        <w:rPr>
          <w:rFonts w:hint="eastAsia" w:ascii="Arial" w:hAnsi="Arial" w:cs="Arial"/>
          <w:i w:val="0"/>
          <w:caps w:val="0"/>
          <w:color w:val="333333"/>
          <w:spacing w:val="0"/>
          <w:sz w:val="18"/>
          <w:szCs w:val="18"/>
          <w:shd w:val="clear" w:fill="FFFFFF"/>
          <w:lang w:eastAsia="zh-CN"/>
        </w:rPr>
        <w:t>，</w:t>
      </w:r>
      <w:r>
        <w:rPr>
          <w:rFonts w:hint="default" w:ascii="Arial" w:hAnsi="Arial" w:cs="Arial"/>
          <w:i w:val="0"/>
          <w:caps w:val="0"/>
          <w:color w:val="333333"/>
          <w:spacing w:val="0"/>
          <w:sz w:val="18"/>
          <w:szCs w:val="18"/>
          <w:shd w:val="clear" w:fill="FFFFFF"/>
        </w:rPr>
        <w:t>属于</w:t>
      </w:r>
      <w:r>
        <w:rPr>
          <w:rFonts w:hint="eastAsia" w:ascii="Arial" w:hAnsi="Arial" w:cs="Arial"/>
          <w:i w:val="0"/>
          <w:caps w:val="0"/>
          <w:color w:val="333333"/>
          <w:spacing w:val="0"/>
          <w:sz w:val="18"/>
          <w:szCs w:val="18"/>
          <w:shd w:val="clear" w:fill="FFFFFF"/>
          <w:lang w:val="en-US" w:eastAsia="zh-CN"/>
        </w:rPr>
        <w:t>一</w:t>
      </w:r>
      <w:r>
        <w:rPr>
          <w:rFonts w:hint="default" w:ascii="Arial" w:hAnsi="Arial" w:cs="Arial"/>
          <w:i w:val="0"/>
          <w:caps w:val="0"/>
          <w:color w:val="333333"/>
          <w:spacing w:val="0"/>
          <w:sz w:val="18"/>
          <w:szCs w:val="18"/>
          <w:shd w:val="clear" w:fill="FFFFFF"/>
        </w:rPr>
        <w:t>类高层</w:t>
      </w:r>
      <w:r>
        <w:rPr>
          <w:rFonts w:hint="default" w:ascii="Arial" w:hAnsi="Arial" w:cs="Arial"/>
          <w:i w:val="0"/>
          <w:caps w:val="0"/>
          <w:color w:val="333333"/>
          <w:spacing w:val="0"/>
          <w:sz w:val="18"/>
          <w:szCs w:val="18"/>
          <w:bdr w:val="none" w:color="auto" w:sz="0" w:space="0"/>
          <w:shd w:val="clear" w:fill="FFFFFF"/>
        </w:rPr>
        <w:t>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变配电室、发电机房、弱电机房等</w:t>
      </w:r>
      <w:r>
        <w:rPr>
          <w:rFonts w:hint="eastAsia" w:ascii="Arial" w:hAnsi="Arial" w:cs="Arial"/>
          <w:i w:val="0"/>
          <w:caps w:val="0"/>
          <w:color w:val="333333"/>
          <w:spacing w:val="0"/>
          <w:sz w:val="18"/>
          <w:szCs w:val="18"/>
          <w:bdr w:val="none" w:color="auto" w:sz="0" w:space="0"/>
          <w:shd w:val="clear" w:fill="FFFFFF"/>
          <w:lang w:val="en-US" w:eastAsia="zh-CN"/>
        </w:rPr>
        <w:t>设备</w:t>
      </w:r>
      <w:r>
        <w:rPr>
          <w:rFonts w:hint="default" w:ascii="Arial" w:hAnsi="Arial" w:cs="Arial"/>
          <w:i w:val="0"/>
          <w:caps w:val="0"/>
          <w:color w:val="333333"/>
          <w:spacing w:val="0"/>
          <w:sz w:val="18"/>
          <w:szCs w:val="18"/>
          <w:bdr w:val="none" w:color="auto" w:sz="0" w:space="0"/>
          <w:shd w:val="clear" w:fill="FFFFFF"/>
        </w:rPr>
        <w:t>在地下一层。消防控制室设在地下一层，有直接对外出口。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1.2、建筑、给排水、暖通等专业及分包商所提供的设计资料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1.3、建设单位提供的市政资料、设计任务书等设计要求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1.4、市各有关职能部门对本工程上一阶段设计文件的批复意见。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1.5、《建筑工程设计文件编制深度规定》（2008年版）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1.6、本工程采用的主要标准规及地方法规：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《民用建筑设计通则》GB 50352-2005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《供配电系统设计规》GB 50052-2009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《10kV及以下变电所设计规》 GB 50053-94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《低压配电设计规》 GB 50054-2011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《通用用电设备配电设计规》GB 50055-2011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《3～110kV高压配电装置设计规》 GB 50060-2008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《住宅设计规》 GB50096-2011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《电力工程电缆设计规》 GB 50217-2007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《建筑物防雷设计规》 GB 50057-2010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《建筑照明设计标准》 GB 50034-2004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《高层民用建筑设计防火规》GB 50045-95（2005年版）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bdr w:val="none" w:color="auto" w:sz="0" w:space="0"/>
          <w:shd w:val="clear" w:fill="FFFFFF"/>
        </w:rPr>
      </w:pPr>
      <w:r>
        <w:rPr>
          <w:rFonts w:hint="default" w:ascii="Arial" w:hAnsi="Arial" w:cs="Arial"/>
          <w:i w:val="0"/>
          <w:caps w:val="0"/>
          <w:color w:val="333333"/>
          <w:spacing w:val="0"/>
          <w:sz w:val="18"/>
          <w:szCs w:val="18"/>
          <w:bdr w:val="none" w:color="auto" w:sz="0" w:space="0"/>
          <w:shd w:val="clear" w:fill="FFFFFF"/>
        </w:rPr>
        <w:t>《剩余电流动作保护装置安装和运行》 GB 13955-2005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eastAsia"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《接地系统的型式及安全技术要求》 GB 14050-2008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《汽车库、修车库、停车场设计防火规》GB 50067-97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《火灾自动报警系统设计规》GB 50116-2013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《城市消防远程监控系统技术规》GB 50440-2007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《建筑物电子信息系统防雷技术规》GB 50343-2012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《综合布线系统工程设计规》GB 50311-2007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《安全防工程技术规》GB 50348-2004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《有线电视系统工程技术规》GB 50200-94(2000年版) 《电子信息系统机房设计规》GB 50174-2008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《入侵报警系统工程设计规》GB 50394-2007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《视频安防监控系统工程设计规》 GB 50395-2007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《视频显示系统工程技术规》 GB 50464-2008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《出入口控制系统工程设计规》 GB 50396-2007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《住宅区和住宅建筑光纤到户通信设施工程设计规》GB 50846-2012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《民用建筑电气设计规》JGJ 16-2008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《住宅建筑电气设计规》 JGJ242-2011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《电力变压器选用导则》 GB/T 17468-2008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《电能质量供电电压偏差》 GB/T 12325-2008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《电能质量电压波动和闪变》 GB/T 12326－2008 《电力装置的继电保护和自动装置设计规》 GB/T 50062－2008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《电力装置的电测量仪表装置设计规》 GB/T 50063－2008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《电能质量公用电网谐波》 GB/T 14549-93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《智能建筑设计标准》 GB/T 50314-2006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《地下建筑照明设计标准》CECS45：92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《人民防空地下室设计规》GB 50038-2005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《人民防空工程设计防火规》 GB 50098-2009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《公共建筑节能设计标准》 GB 50189-2005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bdr w:val="none" w:color="auto" w:sz="0" w:space="0"/>
          <w:shd w:val="clear" w:fill="FFFFFF"/>
        </w:rPr>
      </w:pPr>
      <w:r>
        <w:rPr>
          <w:rFonts w:hint="default" w:ascii="Arial" w:hAnsi="Arial" w:cs="Arial"/>
          <w:i w:val="0"/>
          <w:caps w:val="0"/>
          <w:color w:val="333333"/>
          <w:spacing w:val="0"/>
          <w:sz w:val="18"/>
          <w:szCs w:val="18"/>
          <w:bdr w:val="none" w:color="auto" w:sz="0" w:space="0"/>
          <w:shd w:val="clear" w:fill="FFFFFF"/>
        </w:rPr>
        <w:t>《绿色建筑评价标准》 GB/T 50378-2006 《市绿色建筑设计导则》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eastAsia"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《市绿色建评价规》 SZJG30-2009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2、设计</w:t>
      </w:r>
      <w:r>
        <w:rPr>
          <w:rFonts w:hint="eastAsia" w:ascii="Arial" w:hAnsi="Arial" w:cs="Arial"/>
          <w:i w:val="0"/>
          <w:caps w:val="0"/>
          <w:color w:val="333333"/>
          <w:spacing w:val="0"/>
          <w:sz w:val="18"/>
          <w:szCs w:val="18"/>
          <w:bdr w:val="none" w:color="auto" w:sz="0" w:space="0"/>
          <w:shd w:val="clear" w:fill="FFFFFF"/>
          <w:lang w:val="en-US" w:eastAsia="zh-CN"/>
        </w:rPr>
        <w:t>范围包括如下内</w:t>
      </w:r>
      <w:r>
        <w:rPr>
          <w:rFonts w:hint="default" w:ascii="Arial" w:hAnsi="Arial" w:cs="Arial"/>
          <w:i w:val="0"/>
          <w:caps w:val="0"/>
          <w:color w:val="333333"/>
          <w:spacing w:val="0"/>
          <w:sz w:val="18"/>
          <w:szCs w:val="18"/>
          <w:bdr w:val="none" w:color="auto" w:sz="0" w:space="0"/>
          <w:shd w:val="clear" w:fill="FFFFFF"/>
        </w:rPr>
        <w:t>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2.1、供配电系统设计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2.2、电力及照明（包括智能照明）系统设计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2.3、电气安全（包括防雷接地及等电位连接）设计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2.4、火灾自动报警系统及其联动控制系统设计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2.5、智能化（弱电）系统设计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3、变配电系统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3.1、负荷等级及各类负荷容量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本工程按一类高层建筑设计。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一级负荷：消防控制室、消防水泵、消防电梯、防排烟设施、火灾自动报警、消防联动控制系统、消防广播、机房、计算机网络中心、自动灭火系统、应急照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明、疏散指示标志和电动防火门、窗、卷帘、阀门等消防用电；走道照明、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值班照明、警卫照明、障碍照明用电，安防系统用电，电子信息设备机房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用电、客梯用电、排污泵、生活水泵用电。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三级负荷：其它动力负荷及普通照明。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各类负荷总安装容量：16525kW，其中：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住宅：15842kW</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商业：683kW（包括空调系统电力）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以上负荷中消防负荷：963 kW ，重要负荷：1614 kW</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变压器总安装容量：6630kVA；项目单位面积安装功率：30.8VA/m2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1、2栋：1000kVAx2台</w:t>
      </w:r>
      <w:r>
        <w:rPr>
          <w:rFonts w:hint="eastAsia" w:ascii="Arial" w:hAnsi="Arial" w:cs="Arial"/>
          <w:i w:val="0"/>
          <w:caps w:val="0"/>
          <w:color w:val="333333"/>
          <w:spacing w:val="0"/>
          <w:sz w:val="18"/>
          <w:szCs w:val="18"/>
          <w:bdr w:val="none" w:color="auto" w:sz="0" w:space="0"/>
          <w:shd w:val="clear" w:fill="FFFFFF"/>
          <w:lang w:val="en-US" w:eastAsia="zh-CN"/>
        </w:rPr>
        <w:t xml:space="preserve">      </w:t>
      </w:r>
      <w:r>
        <w:rPr>
          <w:rFonts w:hint="default" w:ascii="Arial" w:hAnsi="Arial" w:cs="Arial"/>
          <w:i w:val="0"/>
          <w:caps w:val="0"/>
          <w:color w:val="333333"/>
          <w:spacing w:val="0"/>
          <w:sz w:val="18"/>
          <w:szCs w:val="18"/>
          <w:bdr w:val="none" w:color="auto" w:sz="0" w:space="0"/>
          <w:shd w:val="clear" w:fill="FFFFFF"/>
        </w:rPr>
        <w:t>3、4栋：1000kVAx2台</w:t>
      </w:r>
      <w:r>
        <w:rPr>
          <w:rFonts w:hint="eastAsia" w:ascii="Arial" w:hAnsi="Arial" w:cs="Arial"/>
          <w:i w:val="0"/>
          <w:caps w:val="0"/>
          <w:color w:val="333333"/>
          <w:spacing w:val="0"/>
          <w:sz w:val="18"/>
          <w:szCs w:val="18"/>
          <w:bdr w:val="none" w:color="auto" w:sz="0" w:space="0"/>
          <w:shd w:val="clear" w:fill="FFFFFF"/>
          <w:lang w:val="en-US" w:eastAsia="zh-CN"/>
        </w:rPr>
        <w:t xml:space="preserve">       </w:t>
      </w:r>
      <w:r>
        <w:rPr>
          <w:rFonts w:hint="default" w:ascii="Arial" w:hAnsi="Arial" w:cs="Arial"/>
          <w:i w:val="0"/>
          <w:caps w:val="0"/>
          <w:color w:val="333333"/>
          <w:spacing w:val="0"/>
          <w:sz w:val="18"/>
          <w:szCs w:val="18"/>
          <w:bdr w:val="none" w:color="auto" w:sz="0" w:space="0"/>
          <w:shd w:val="clear" w:fill="FFFFFF"/>
        </w:rPr>
        <w:t>5、6栋：1000kVAx2台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商业：630kVAx1台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bdr w:val="none" w:color="auto" w:sz="0" w:space="0"/>
          <w:shd w:val="clear" w:fill="FFFFFF"/>
        </w:rPr>
      </w:pPr>
      <w:r>
        <w:rPr>
          <w:rFonts w:hint="default" w:ascii="Arial" w:hAnsi="Arial" w:cs="Arial"/>
          <w:i w:val="0"/>
          <w:caps w:val="0"/>
          <w:color w:val="333333"/>
          <w:spacing w:val="0"/>
          <w:sz w:val="18"/>
          <w:szCs w:val="18"/>
          <w:bdr w:val="none" w:color="auto" w:sz="0" w:space="0"/>
          <w:shd w:val="clear" w:fill="FFFFFF"/>
        </w:rPr>
        <w:t>发电机安装容量：1614 kW。</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eastAsia"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各部分负荷构成及变压器、发电机选型详见附件：负荷计算书。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3.2、供电电源及电压等级、电源数量（回数）、引入方向、电缆/架空引入等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由</w:t>
      </w:r>
      <w:r>
        <w:rPr>
          <w:rFonts w:hint="eastAsia" w:ascii="Arial" w:hAnsi="Arial" w:cs="Arial"/>
          <w:i w:val="0"/>
          <w:caps w:val="0"/>
          <w:color w:val="333333"/>
          <w:spacing w:val="0"/>
          <w:sz w:val="18"/>
          <w:szCs w:val="18"/>
          <w:bdr w:val="none" w:color="auto" w:sz="0" w:space="0"/>
          <w:shd w:val="clear" w:fill="FFFFFF"/>
          <w:lang w:val="en-US" w:eastAsia="zh-CN"/>
        </w:rPr>
        <w:t>南滨路</w:t>
      </w:r>
      <w:r>
        <w:rPr>
          <w:rFonts w:hint="default" w:ascii="Arial" w:hAnsi="Arial" w:cs="Arial"/>
          <w:i w:val="0"/>
          <w:caps w:val="0"/>
          <w:color w:val="333333"/>
          <w:spacing w:val="0"/>
          <w:sz w:val="18"/>
          <w:szCs w:val="18"/>
          <w:bdr w:val="none" w:color="auto" w:sz="0" w:space="0"/>
          <w:shd w:val="clear" w:fill="FFFFFF"/>
        </w:rPr>
        <w:t>市政电缆沟引入一路10kV电源进入项目10kV公共开关房。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3.3、备用电源与应急电源容量确定原则及性能要求，自备发电机启动方式及与市电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应急电源及备用电源：采取一路10kV电源引入，同时考虑设置备用柴油发电机供市电失电情况下消防电力及重要负荷用电，应急照明等采用EPS提供发电机启动过渡时段电力。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自备发电机容量确认原则：按重要负荷及消防负荷两者中之最大者考虑。自备发电机检测到变配电所市电失电后经0~10s延时后，发电机自启动，30s恢复对消防负荷及重要负荷供电。市电恢复30~60s后，发电机停机，改为市电供电。机组应配备电压自动调整装置、快速自启动装置。发电机电源与市电采用四极PC级开关切换，保证不向市网倒送电。发电机房设储油间，其总储存量不应大于8小时的需要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3.4、中、低压供电系统结线形式及运行方式、正常工作电源与备用电源之间的关系，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母联开关运行及切换方式；变压器之间低压联络方式；重要负荷的供电方式；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10kV母线采用单母线结线。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低压部分根据负荷性质及小区规划设置四个变配电系统（三个住宅、一个商业）。分别供电给各栋塔楼及地下室负荷用。每个住宅配电系统设置成组（两台）的变压器，商业配电系统设一台变压器。住宅配电系统低压采用单母线分段形式，低压母线之间设置母联断路器，与两路低压总进线断路器联锁，正常供电时母联断路器断开，两台变压器互为备用。一台变压器检修或故障时断开相应的进线断路器，合上母联断路器，供电给失电母线段上的负荷。消防设备及重要设备用电采用双电源末端切换，、网络、监控、重要的设备等极重要负荷除采用双电源外同时配置UPS／EPS电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低压供电方式采用放射式结合树干式供电，配电级数不超过三级。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3.5、变、配电站位置、数量、容量等;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eastAsia"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本项目共设置一个10kV配电所，三个10/0.4KV变配电室，各配变电所的位置、数量、容量见下表：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04"/>
        <w:gridCol w:w="1704"/>
        <w:gridCol w:w="170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pPr>
              <w:pStyle w:val="2"/>
              <w:keepNext w:val="0"/>
              <w:keepLines w:val="0"/>
              <w:widowControl/>
              <w:suppressLineNumbers w:val="0"/>
              <w:spacing w:before="0" w:beforeAutospacing="0" w:after="100" w:afterAutospacing="0"/>
              <w:ind w:right="0"/>
              <w:rPr>
                <w:rFonts w:hint="default" w:ascii="Arial" w:hAnsi="Arial" w:cs="Arial" w:eastAsiaTheme="minorEastAsia"/>
                <w:i w:val="0"/>
                <w:caps w:val="0"/>
                <w:color w:val="333333"/>
                <w:spacing w:val="0"/>
                <w:sz w:val="18"/>
                <w:szCs w:val="18"/>
                <w:bdr w:val="none" w:color="auto" w:sz="0" w:space="0"/>
                <w:shd w:val="clear" w:fill="FFFFFF"/>
                <w:vertAlign w:val="baseline"/>
                <w:lang w:val="en-US" w:eastAsia="zh-CN"/>
              </w:rPr>
            </w:pPr>
            <w:r>
              <w:rPr>
                <w:rFonts w:hint="eastAsia" w:ascii="Arial" w:hAnsi="Arial" w:cs="Arial"/>
                <w:i w:val="0"/>
                <w:caps w:val="0"/>
                <w:color w:val="333333"/>
                <w:spacing w:val="0"/>
                <w:sz w:val="18"/>
                <w:szCs w:val="18"/>
                <w:bdr w:val="none" w:color="auto" w:sz="0" w:space="0"/>
                <w:shd w:val="clear" w:fill="FFFFFF"/>
                <w:vertAlign w:val="baseline"/>
                <w:lang w:val="en-US" w:eastAsia="zh-CN"/>
              </w:rPr>
              <w:t>名称</w:t>
            </w:r>
          </w:p>
        </w:tc>
        <w:tc>
          <w:tcPr>
            <w:tcW w:w="1704" w:type="dxa"/>
          </w:tcPr>
          <w:p>
            <w:pPr>
              <w:pStyle w:val="2"/>
              <w:keepNext w:val="0"/>
              <w:keepLines w:val="0"/>
              <w:widowControl/>
              <w:suppressLineNumbers w:val="0"/>
              <w:spacing w:before="0" w:beforeAutospacing="0" w:after="100" w:afterAutospacing="0"/>
              <w:ind w:right="0"/>
              <w:rPr>
                <w:rFonts w:hint="eastAsia" w:ascii="Arial" w:hAnsi="Arial" w:cs="Arial" w:eastAsiaTheme="minorEastAsia"/>
                <w:i w:val="0"/>
                <w:caps w:val="0"/>
                <w:color w:val="333333"/>
                <w:spacing w:val="0"/>
                <w:sz w:val="18"/>
                <w:szCs w:val="18"/>
                <w:bdr w:val="none" w:color="auto" w:sz="0" w:space="0"/>
                <w:shd w:val="clear" w:fill="FFFFFF"/>
                <w:vertAlign w:val="baseline"/>
                <w:lang w:val="en-US" w:eastAsia="zh-CN"/>
              </w:rPr>
            </w:pPr>
            <w:r>
              <w:rPr>
                <w:rFonts w:hint="eastAsia" w:ascii="Arial" w:hAnsi="Arial" w:cs="Arial"/>
                <w:i w:val="0"/>
                <w:caps w:val="0"/>
                <w:color w:val="333333"/>
                <w:spacing w:val="0"/>
                <w:sz w:val="18"/>
                <w:szCs w:val="18"/>
                <w:bdr w:val="none" w:color="auto" w:sz="0" w:space="0"/>
                <w:shd w:val="clear" w:fill="FFFFFF"/>
                <w:vertAlign w:val="baseline"/>
                <w:lang w:val="en-US" w:eastAsia="zh-CN"/>
              </w:rPr>
              <w:t>容量</w:t>
            </w:r>
          </w:p>
        </w:tc>
        <w:tc>
          <w:tcPr>
            <w:tcW w:w="1704" w:type="dxa"/>
          </w:tcPr>
          <w:p>
            <w:pPr>
              <w:pStyle w:val="2"/>
              <w:keepNext w:val="0"/>
              <w:keepLines w:val="0"/>
              <w:widowControl/>
              <w:suppressLineNumbers w:val="0"/>
              <w:spacing w:before="0" w:beforeAutospacing="0" w:after="100" w:afterAutospacing="0"/>
              <w:ind w:right="0"/>
              <w:rPr>
                <w:rFonts w:hint="eastAsia" w:ascii="Arial" w:hAnsi="Arial" w:cs="Arial" w:eastAsiaTheme="minorEastAsia"/>
                <w:i w:val="0"/>
                <w:caps w:val="0"/>
                <w:color w:val="333333"/>
                <w:spacing w:val="0"/>
                <w:sz w:val="18"/>
                <w:szCs w:val="18"/>
                <w:bdr w:val="none" w:color="auto" w:sz="0" w:space="0"/>
                <w:shd w:val="clear" w:fill="FFFFFF"/>
                <w:vertAlign w:val="baseline"/>
                <w:lang w:val="en-US" w:eastAsia="zh-CN"/>
              </w:rPr>
            </w:pPr>
            <w:r>
              <w:rPr>
                <w:rFonts w:hint="eastAsia" w:ascii="Arial" w:hAnsi="Arial" w:cs="Arial"/>
                <w:i w:val="0"/>
                <w:caps w:val="0"/>
                <w:color w:val="333333"/>
                <w:spacing w:val="0"/>
                <w:sz w:val="18"/>
                <w:szCs w:val="18"/>
                <w:bdr w:val="none" w:color="auto" w:sz="0" w:space="0"/>
                <w:shd w:val="clear" w:fill="FFFFFF"/>
                <w:vertAlign w:val="baseline"/>
                <w:lang w:val="en-US" w:eastAsia="zh-CN"/>
              </w:rPr>
              <w:t>位置</w:t>
            </w:r>
          </w:p>
        </w:tc>
        <w:tc>
          <w:tcPr>
            <w:tcW w:w="1705" w:type="dxa"/>
          </w:tcPr>
          <w:p>
            <w:pPr>
              <w:pStyle w:val="2"/>
              <w:keepNext w:val="0"/>
              <w:keepLines w:val="0"/>
              <w:widowControl/>
              <w:suppressLineNumbers w:val="0"/>
              <w:spacing w:before="0" w:beforeAutospacing="0" w:after="100" w:afterAutospacing="0"/>
              <w:ind w:right="0"/>
              <w:rPr>
                <w:rFonts w:hint="eastAsia" w:ascii="Arial" w:hAnsi="Arial" w:cs="Arial" w:eastAsiaTheme="minorEastAsia"/>
                <w:i w:val="0"/>
                <w:caps w:val="0"/>
                <w:color w:val="333333"/>
                <w:spacing w:val="0"/>
                <w:sz w:val="18"/>
                <w:szCs w:val="18"/>
                <w:bdr w:val="none" w:color="auto" w:sz="0" w:space="0"/>
                <w:shd w:val="clear" w:fill="FFFFFF"/>
                <w:vertAlign w:val="baseline"/>
                <w:lang w:val="en-US" w:eastAsia="zh-CN"/>
              </w:rPr>
            </w:pPr>
            <w:r>
              <w:rPr>
                <w:rFonts w:hint="eastAsia" w:ascii="Arial" w:hAnsi="Arial" w:cs="Arial"/>
                <w:i w:val="0"/>
                <w:caps w:val="0"/>
                <w:color w:val="333333"/>
                <w:spacing w:val="0"/>
                <w:sz w:val="18"/>
                <w:szCs w:val="18"/>
                <w:bdr w:val="none" w:color="auto" w:sz="0" w:space="0"/>
                <w:shd w:val="clear" w:fill="FFFFFF"/>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pPr>
              <w:pStyle w:val="2"/>
              <w:keepNext w:val="0"/>
              <w:keepLines w:val="0"/>
              <w:widowControl/>
              <w:suppressLineNumbers w:val="0"/>
              <w:spacing w:before="0" w:beforeAutospacing="0" w:after="100" w:afterAutospacing="0"/>
              <w:ind w:right="0"/>
              <w:rPr>
                <w:rFonts w:hint="default" w:ascii="Arial" w:hAnsi="Arial" w:cs="Arial"/>
                <w:i w:val="0"/>
                <w:caps w:val="0"/>
                <w:color w:val="333333"/>
                <w:spacing w:val="0"/>
                <w:sz w:val="18"/>
                <w:szCs w:val="18"/>
                <w:bdr w:val="none" w:color="auto" w:sz="0" w:space="0"/>
                <w:shd w:val="clear" w:fill="FFFFFF"/>
                <w:vertAlign w:val="baseline"/>
              </w:rPr>
            </w:pPr>
            <w:r>
              <w:rPr>
                <w:rFonts w:hint="default" w:ascii="Arial" w:hAnsi="Arial" w:cs="Arial"/>
                <w:i w:val="0"/>
                <w:caps w:val="0"/>
                <w:color w:val="333333"/>
                <w:spacing w:val="0"/>
                <w:sz w:val="18"/>
                <w:szCs w:val="18"/>
                <w:shd w:val="clear" w:fill="FFFFFF"/>
              </w:rPr>
              <w:t>配电所</w:t>
            </w:r>
          </w:p>
        </w:tc>
        <w:tc>
          <w:tcPr>
            <w:tcW w:w="1704" w:type="dxa"/>
          </w:tcPr>
          <w:p>
            <w:pPr>
              <w:pStyle w:val="2"/>
              <w:keepNext w:val="0"/>
              <w:keepLines w:val="0"/>
              <w:widowControl/>
              <w:suppressLineNumbers w:val="0"/>
              <w:spacing w:before="0" w:beforeAutospacing="0" w:after="100" w:afterAutospacing="0"/>
              <w:ind w:right="0"/>
              <w:rPr>
                <w:rFonts w:hint="default" w:ascii="Arial" w:hAnsi="Arial" w:cs="Arial"/>
                <w:i w:val="0"/>
                <w:caps w:val="0"/>
                <w:color w:val="333333"/>
                <w:spacing w:val="0"/>
                <w:sz w:val="18"/>
                <w:szCs w:val="18"/>
                <w:bdr w:val="none" w:color="auto" w:sz="0" w:space="0"/>
                <w:shd w:val="clear" w:fill="FFFFFF"/>
                <w:vertAlign w:val="baseline"/>
              </w:rPr>
            </w:pPr>
            <w:r>
              <w:rPr>
                <w:rFonts w:hint="default" w:ascii="Arial" w:hAnsi="Arial" w:cs="Arial"/>
                <w:i w:val="0"/>
                <w:caps w:val="0"/>
                <w:color w:val="333333"/>
                <w:spacing w:val="0"/>
                <w:sz w:val="18"/>
                <w:szCs w:val="18"/>
                <w:shd w:val="clear" w:fill="FFFFFF"/>
              </w:rPr>
              <w:t>10kV</w:t>
            </w:r>
          </w:p>
        </w:tc>
        <w:tc>
          <w:tcPr>
            <w:tcW w:w="1704" w:type="dxa"/>
          </w:tcPr>
          <w:p>
            <w:pPr>
              <w:pStyle w:val="2"/>
              <w:keepNext w:val="0"/>
              <w:keepLines w:val="0"/>
              <w:widowControl/>
              <w:suppressLineNumbers w:val="0"/>
              <w:spacing w:before="0" w:beforeAutospacing="0" w:after="100" w:afterAutospacing="0"/>
              <w:ind w:right="0"/>
              <w:rPr>
                <w:rFonts w:hint="default" w:ascii="Arial" w:hAnsi="Arial" w:cs="Arial" w:eastAsiaTheme="minorEastAsia"/>
                <w:i w:val="0"/>
                <w:caps w:val="0"/>
                <w:color w:val="333333"/>
                <w:spacing w:val="0"/>
                <w:sz w:val="18"/>
                <w:szCs w:val="18"/>
                <w:bdr w:val="none" w:color="auto" w:sz="0" w:space="0"/>
                <w:shd w:val="clear" w:fill="FFFFFF"/>
                <w:vertAlign w:val="baseline"/>
                <w:lang w:val="en-US" w:eastAsia="zh-CN"/>
              </w:rPr>
            </w:pPr>
            <w:r>
              <w:rPr>
                <w:rFonts w:hint="eastAsia" w:ascii="Arial" w:hAnsi="Arial" w:cs="Arial"/>
                <w:i w:val="0"/>
                <w:caps w:val="0"/>
                <w:color w:val="333333"/>
                <w:spacing w:val="0"/>
                <w:sz w:val="18"/>
                <w:szCs w:val="18"/>
                <w:bdr w:val="none" w:color="auto" w:sz="0" w:space="0"/>
                <w:shd w:val="clear" w:fill="FFFFFF"/>
                <w:vertAlign w:val="baseline"/>
                <w:lang w:val="en-US" w:eastAsia="zh-CN"/>
              </w:rPr>
              <w:t>负一楼</w:t>
            </w:r>
          </w:p>
        </w:tc>
        <w:tc>
          <w:tcPr>
            <w:tcW w:w="1705" w:type="dxa"/>
          </w:tcPr>
          <w:p>
            <w:pPr>
              <w:pStyle w:val="2"/>
              <w:keepNext w:val="0"/>
              <w:keepLines w:val="0"/>
              <w:widowControl/>
              <w:suppressLineNumbers w:val="0"/>
              <w:spacing w:before="0" w:beforeAutospacing="0" w:after="100" w:afterAutospacing="0"/>
              <w:ind w:right="0"/>
              <w:rPr>
                <w:rFonts w:hint="eastAsia" w:ascii="Arial" w:hAnsi="Arial" w:cs="Arial" w:eastAsiaTheme="minorEastAsia"/>
                <w:i w:val="0"/>
                <w:caps w:val="0"/>
                <w:color w:val="333333"/>
                <w:spacing w:val="0"/>
                <w:sz w:val="18"/>
                <w:szCs w:val="18"/>
                <w:bdr w:val="none" w:color="auto" w:sz="0" w:space="0"/>
                <w:shd w:val="clear" w:fill="FFFFFF"/>
                <w:vertAlign w:val="baseline"/>
                <w:lang w:val="en-US" w:eastAsia="zh-CN"/>
              </w:rPr>
            </w:pPr>
            <w:r>
              <w:rPr>
                <w:rFonts w:hint="eastAsia" w:ascii="Arial" w:hAnsi="Arial" w:cs="Arial"/>
                <w:i w:val="0"/>
                <w:caps w:val="0"/>
                <w:color w:val="333333"/>
                <w:spacing w:val="0"/>
                <w:sz w:val="18"/>
                <w:szCs w:val="18"/>
                <w:bdr w:val="none" w:color="auto" w:sz="0" w:space="0"/>
                <w:shd w:val="clear" w:fill="FFFFFF"/>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pPr>
              <w:pStyle w:val="2"/>
              <w:keepNext w:val="0"/>
              <w:keepLines w:val="0"/>
              <w:widowControl/>
              <w:suppressLineNumbers w:val="0"/>
              <w:spacing w:before="0" w:beforeAutospacing="0" w:after="100" w:afterAutospacing="0"/>
              <w:ind w:right="0"/>
              <w:rPr>
                <w:rFonts w:hint="eastAsia" w:ascii="Arial" w:hAnsi="Arial" w:cs="Arial" w:eastAsiaTheme="minorEastAsia"/>
                <w:i w:val="0"/>
                <w:caps w:val="0"/>
                <w:color w:val="333333"/>
                <w:spacing w:val="0"/>
                <w:sz w:val="18"/>
                <w:szCs w:val="18"/>
                <w:bdr w:val="none" w:color="auto" w:sz="0" w:space="0"/>
                <w:shd w:val="clear" w:fill="FFFFFF"/>
                <w:vertAlign w:val="baseline"/>
                <w:lang w:val="en-US" w:eastAsia="zh-CN"/>
              </w:rPr>
            </w:pPr>
            <w:r>
              <w:rPr>
                <w:rFonts w:hint="default" w:ascii="Arial" w:hAnsi="Arial" w:cs="Arial"/>
                <w:i w:val="0"/>
                <w:caps w:val="0"/>
                <w:color w:val="333333"/>
                <w:spacing w:val="0"/>
                <w:sz w:val="18"/>
                <w:szCs w:val="18"/>
                <w:shd w:val="clear" w:fill="FFFFFF"/>
              </w:rPr>
              <w:t>变配电室</w:t>
            </w:r>
            <w:r>
              <w:rPr>
                <w:rFonts w:hint="eastAsia" w:ascii="Arial" w:hAnsi="Arial" w:cs="Arial"/>
                <w:i w:val="0"/>
                <w:caps w:val="0"/>
                <w:color w:val="333333"/>
                <w:spacing w:val="0"/>
                <w:sz w:val="18"/>
                <w:szCs w:val="18"/>
                <w:shd w:val="clear" w:fill="FFFFFF"/>
                <w:lang w:val="en-US" w:eastAsia="zh-CN"/>
              </w:rPr>
              <w:t>1</w:t>
            </w:r>
          </w:p>
        </w:tc>
        <w:tc>
          <w:tcPr>
            <w:tcW w:w="1704" w:type="dxa"/>
          </w:tcPr>
          <w:p>
            <w:pPr>
              <w:pStyle w:val="2"/>
              <w:keepNext w:val="0"/>
              <w:keepLines w:val="0"/>
              <w:widowControl/>
              <w:suppressLineNumbers w:val="0"/>
              <w:spacing w:before="0" w:beforeAutospacing="0" w:after="100" w:afterAutospacing="0"/>
              <w:ind w:right="0"/>
              <w:rPr>
                <w:rFonts w:hint="default" w:ascii="Arial" w:hAnsi="Arial" w:cs="Arial"/>
                <w:i w:val="0"/>
                <w:caps w:val="0"/>
                <w:color w:val="333333"/>
                <w:spacing w:val="0"/>
                <w:sz w:val="18"/>
                <w:szCs w:val="18"/>
                <w:bdr w:val="none" w:color="auto" w:sz="0" w:space="0"/>
                <w:shd w:val="clear" w:fill="FFFFFF"/>
                <w:vertAlign w:val="baseline"/>
              </w:rPr>
            </w:pPr>
            <w:r>
              <w:rPr>
                <w:rFonts w:hint="default" w:ascii="Arial" w:hAnsi="Arial" w:cs="Arial"/>
                <w:i w:val="0"/>
                <w:caps w:val="0"/>
                <w:color w:val="333333"/>
                <w:spacing w:val="0"/>
                <w:sz w:val="18"/>
                <w:szCs w:val="18"/>
                <w:shd w:val="clear" w:fill="FFFFFF"/>
              </w:rPr>
              <w:t>10/0.4KV</w:t>
            </w:r>
          </w:p>
        </w:tc>
        <w:tc>
          <w:tcPr>
            <w:tcW w:w="1704" w:type="dxa"/>
          </w:tcPr>
          <w:p>
            <w:pPr>
              <w:pStyle w:val="2"/>
              <w:keepNext w:val="0"/>
              <w:keepLines w:val="0"/>
              <w:widowControl/>
              <w:suppressLineNumbers w:val="0"/>
              <w:spacing w:before="0" w:beforeAutospacing="0" w:after="100" w:afterAutospacing="0"/>
              <w:ind w:right="0"/>
              <w:rPr>
                <w:rFonts w:hint="default" w:ascii="Arial" w:hAnsi="Arial" w:cs="Arial" w:eastAsiaTheme="minorEastAsia"/>
                <w:i w:val="0"/>
                <w:caps w:val="0"/>
                <w:color w:val="333333"/>
                <w:spacing w:val="0"/>
                <w:sz w:val="18"/>
                <w:szCs w:val="18"/>
                <w:bdr w:val="none" w:color="auto" w:sz="0" w:space="0"/>
                <w:shd w:val="clear" w:fill="FFFFFF"/>
                <w:vertAlign w:val="baseline"/>
                <w:lang w:val="en-US" w:eastAsia="zh-CN"/>
              </w:rPr>
            </w:pPr>
            <w:r>
              <w:rPr>
                <w:rFonts w:hint="eastAsia" w:ascii="Arial" w:hAnsi="Arial" w:cs="Arial"/>
                <w:i w:val="0"/>
                <w:caps w:val="0"/>
                <w:color w:val="333333"/>
                <w:spacing w:val="0"/>
                <w:sz w:val="18"/>
                <w:szCs w:val="18"/>
                <w:bdr w:val="none" w:color="auto" w:sz="0" w:space="0"/>
                <w:shd w:val="clear" w:fill="FFFFFF"/>
                <w:vertAlign w:val="baseline"/>
                <w:lang w:val="en-US" w:eastAsia="zh-CN"/>
              </w:rPr>
              <w:t>6楼</w:t>
            </w:r>
          </w:p>
        </w:tc>
        <w:tc>
          <w:tcPr>
            <w:tcW w:w="1705" w:type="dxa"/>
          </w:tcPr>
          <w:p>
            <w:pPr>
              <w:pStyle w:val="2"/>
              <w:keepNext w:val="0"/>
              <w:keepLines w:val="0"/>
              <w:widowControl/>
              <w:suppressLineNumbers w:val="0"/>
              <w:spacing w:before="0" w:beforeAutospacing="0" w:after="100" w:afterAutospacing="0"/>
              <w:ind w:right="0"/>
              <w:rPr>
                <w:rFonts w:hint="eastAsia" w:ascii="Arial" w:hAnsi="Arial" w:cs="Arial" w:eastAsiaTheme="minorEastAsia"/>
                <w:i w:val="0"/>
                <w:caps w:val="0"/>
                <w:color w:val="333333"/>
                <w:spacing w:val="0"/>
                <w:sz w:val="18"/>
                <w:szCs w:val="18"/>
                <w:bdr w:val="none" w:color="auto" w:sz="0" w:space="0"/>
                <w:shd w:val="clear" w:fill="FFFFFF"/>
                <w:vertAlign w:val="baseline"/>
                <w:lang w:val="en-US" w:eastAsia="zh-CN"/>
              </w:rPr>
            </w:pPr>
            <w:r>
              <w:rPr>
                <w:rFonts w:hint="eastAsia" w:ascii="Arial" w:hAnsi="Arial" w:cs="Arial"/>
                <w:i w:val="0"/>
                <w:caps w:val="0"/>
                <w:color w:val="333333"/>
                <w:spacing w:val="0"/>
                <w:sz w:val="18"/>
                <w:szCs w:val="18"/>
                <w:bdr w:val="none" w:color="auto" w:sz="0" w:space="0"/>
                <w:shd w:val="clear" w:fill="FFFFFF"/>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pPr>
              <w:pStyle w:val="2"/>
              <w:keepNext w:val="0"/>
              <w:keepLines w:val="0"/>
              <w:widowControl/>
              <w:suppressLineNumbers w:val="0"/>
              <w:spacing w:before="0" w:beforeAutospacing="0" w:after="100" w:afterAutospacing="0"/>
              <w:ind w:right="0"/>
              <w:rPr>
                <w:rFonts w:hint="eastAsia" w:ascii="Arial" w:hAnsi="Arial" w:cs="Arial" w:eastAsiaTheme="minorEastAsia"/>
                <w:i w:val="0"/>
                <w:caps w:val="0"/>
                <w:color w:val="333333"/>
                <w:spacing w:val="0"/>
                <w:sz w:val="18"/>
                <w:szCs w:val="18"/>
                <w:bdr w:val="none" w:color="auto" w:sz="0" w:space="0"/>
                <w:shd w:val="clear" w:fill="FFFFFF"/>
                <w:vertAlign w:val="baseline"/>
                <w:lang w:val="en-US" w:eastAsia="zh-CN"/>
              </w:rPr>
            </w:pPr>
            <w:r>
              <w:rPr>
                <w:rFonts w:hint="default" w:ascii="Arial" w:hAnsi="Arial" w:cs="Arial"/>
                <w:i w:val="0"/>
                <w:caps w:val="0"/>
                <w:color w:val="333333"/>
                <w:spacing w:val="0"/>
                <w:sz w:val="18"/>
                <w:szCs w:val="18"/>
                <w:shd w:val="clear" w:fill="FFFFFF"/>
              </w:rPr>
              <w:t>变配电室</w:t>
            </w:r>
            <w:r>
              <w:rPr>
                <w:rFonts w:hint="eastAsia" w:ascii="Arial" w:hAnsi="Arial" w:cs="Arial"/>
                <w:i w:val="0"/>
                <w:caps w:val="0"/>
                <w:color w:val="333333"/>
                <w:spacing w:val="0"/>
                <w:sz w:val="18"/>
                <w:szCs w:val="18"/>
                <w:shd w:val="clear" w:fill="FFFFFF"/>
                <w:lang w:val="en-US" w:eastAsia="zh-CN"/>
              </w:rPr>
              <w:t>2</w:t>
            </w:r>
          </w:p>
        </w:tc>
        <w:tc>
          <w:tcPr>
            <w:tcW w:w="1704" w:type="dxa"/>
          </w:tcPr>
          <w:p>
            <w:pPr>
              <w:pStyle w:val="2"/>
              <w:keepNext w:val="0"/>
              <w:keepLines w:val="0"/>
              <w:widowControl/>
              <w:suppressLineNumbers w:val="0"/>
              <w:spacing w:before="0" w:beforeAutospacing="0" w:after="100" w:afterAutospacing="0"/>
              <w:ind w:right="0"/>
              <w:rPr>
                <w:rFonts w:hint="default" w:ascii="Arial" w:hAnsi="Arial" w:cs="Arial"/>
                <w:i w:val="0"/>
                <w:caps w:val="0"/>
                <w:color w:val="333333"/>
                <w:spacing w:val="0"/>
                <w:sz w:val="18"/>
                <w:szCs w:val="18"/>
                <w:bdr w:val="none" w:color="auto" w:sz="0" w:space="0"/>
                <w:shd w:val="clear" w:fill="FFFFFF"/>
                <w:vertAlign w:val="baseline"/>
              </w:rPr>
            </w:pPr>
            <w:r>
              <w:rPr>
                <w:rFonts w:hint="default" w:ascii="Arial" w:hAnsi="Arial" w:cs="Arial"/>
                <w:i w:val="0"/>
                <w:caps w:val="0"/>
                <w:color w:val="333333"/>
                <w:spacing w:val="0"/>
                <w:sz w:val="18"/>
                <w:szCs w:val="18"/>
                <w:shd w:val="clear" w:fill="FFFFFF"/>
              </w:rPr>
              <w:t>10/0.4KV</w:t>
            </w:r>
          </w:p>
        </w:tc>
        <w:tc>
          <w:tcPr>
            <w:tcW w:w="1704" w:type="dxa"/>
          </w:tcPr>
          <w:p>
            <w:pPr>
              <w:pStyle w:val="2"/>
              <w:keepNext w:val="0"/>
              <w:keepLines w:val="0"/>
              <w:widowControl/>
              <w:suppressLineNumbers w:val="0"/>
              <w:spacing w:before="0" w:beforeAutospacing="0" w:after="100" w:afterAutospacing="0"/>
              <w:ind w:right="0"/>
              <w:rPr>
                <w:rFonts w:hint="default" w:ascii="Arial" w:hAnsi="Arial" w:cs="Arial" w:eastAsiaTheme="minorEastAsia"/>
                <w:i w:val="0"/>
                <w:caps w:val="0"/>
                <w:color w:val="333333"/>
                <w:spacing w:val="0"/>
                <w:sz w:val="18"/>
                <w:szCs w:val="18"/>
                <w:bdr w:val="none" w:color="auto" w:sz="0" w:space="0"/>
                <w:shd w:val="clear" w:fill="FFFFFF"/>
                <w:vertAlign w:val="baseline"/>
                <w:lang w:val="en-US" w:eastAsia="zh-CN"/>
              </w:rPr>
            </w:pPr>
            <w:r>
              <w:rPr>
                <w:rFonts w:hint="eastAsia" w:ascii="Arial" w:hAnsi="Arial" w:cs="Arial"/>
                <w:i w:val="0"/>
                <w:caps w:val="0"/>
                <w:color w:val="333333"/>
                <w:spacing w:val="0"/>
                <w:sz w:val="18"/>
                <w:szCs w:val="18"/>
                <w:bdr w:val="none" w:color="auto" w:sz="0" w:space="0"/>
                <w:shd w:val="clear" w:fill="FFFFFF"/>
                <w:vertAlign w:val="baseline"/>
                <w:lang w:val="en-US" w:eastAsia="zh-CN"/>
              </w:rPr>
              <w:t>14</w:t>
            </w:r>
          </w:p>
        </w:tc>
        <w:tc>
          <w:tcPr>
            <w:tcW w:w="1705" w:type="dxa"/>
          </w:tcPr>
          <w:p>
            <w:pPr>
              <w:pStyle w:val="2"/>
              <w:keepNext w:val="0"/>
              <w:keepLines w:val="0"/>
              <w:widowControl/>
              <w:suppressLineNumbers w:val="0"/>
              <w:spacing w:before="0" w:beforeAutospacing="0" w:after="100" w:afterAutospacing="0"/>
              <w:ind w:right="0"/>
              <w:rPr>
                <w:rFonts w:hint="eastAsia" w:ascii="Arial" w:hAnsi="Arial" w:cs="Arial" w:eastAsiaTheme="minorEastAsia"/>
                <w:i w:val="0"/>
                <w:caps w:val="0"/>
                <w:color w:val="333333"/>
                <w:spacing w:val="0"/>
                <w:sz w:val="18"/>
                <w:szCs w:val="18"/>
                <w:bdr w:val="none" w:color="auto" w:sz="0" w:space="0"/>
                <w:shd w:val="clear" w:fill="FFFFFF"/>
                <w:vertAlign w:val="baseline"/>
                <w:lang w:val="en-US" w:eastAsia="zh-CN"/>
              </w:rPr>
            </w:pPr>
            <w:r>
              <w:rPr>
                <w:rFonts w:hint="eastAsia" w:ascii="Arial" w:hAnsi="Arial" w:cs="Arial"/>
                <w:i w:val="0"/>
                <w:caps w:val="0"/>
                <w:color w:val="333333"/>
                <w:spacing w:val="0"/>
                <w:sz w:val="18"/>
                <w:szCs w:val="18"/>
                <w:bdr w:val="none" w:color="auto" w:sz="0" w:space="0"/>
                <w:shd w:val="clear" w:fill="FFFFFF"/>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tcPr>
          <w:p>
            <w:pPr>
              <w:pStyle w:val="2"/>
              <w:keepNext w:val="0"/>
              <w:keepLines w:val="0"/>
              <w:widowControl/>
              <w:suppressLineNumbers w:val="0"/>
              <w:spacing w:before="0" w:beforeAutospacing="0" w:after="100" w:afterAutospacing="0"/>
              <w:ind w:right="0"/>
              <w:rPr>
                <w:rFonts w:hint="eastAsia" w:ascii="Arial" w:hAnsi="Arial" w:cs="Arial" w:eastAsiaTheme="minorEastAsia"/>
                <w:i w:val="0"/>
                <w:caps w:val="0"/>
                <w:color w:val="333333"/>
                <w:spacing w:val="0"/>
                <w:sz w:val="18"/>
                <w:szCs w:val="18"/>
                <w:bdr w:val="none" w:color="auto" w:sz="0" w:space="0"/>
                <w:shd w:val="clear" w:fill="FFFFFF"/>
                <w:vertAlign w:val="baseline"/>
                <w:lang w:val="en-US" w:eastAsia="zh-CN"/>
              </w:rPr>
            </w:pPr>
            <w:r>
              <w:rPr>
                <w:rFonts w:hint="default" w:ascii="Arial" w:hAnsi="Arial" w:cs="Arial"/>
                <w:i w:val="0"/>
                <w:caps w:val="0"/>
                <w:color w:val="333333"/>
                <w:spacing w:val="0"/>
                <w:sz w:val="18"/>
                <w:szCs w:val="18"/>
                <w:shd w:val="clear" w:fill="FFFFFF"/>
              </w:rPr>
              <w:t>变配电室</w:t>
            </w:r>
            <w:r>
              <w:rPr>
                <w:rFonts w:hint="eastAsia" w:ascii="Arial" w:hAnsi="Arial" w:cs="Arial"/>
                <w:i w:val="0"/>
                <w:caps w:val="0"/>
                <w:color w:val="333333"/>
                <w:spacing w:val="0"/>
                <w:sz w:val="18"/>
                <w:szCs w:val="18"/>
                <w:shd w:val="clear" w:fill="FFFFFF"/>
                <w:lang w:val="en-US" w:eastAsia="zh-CN"/>
              </w:rPr>
              <w:t>3</w:t>
            </w:r>
          </w:p>
        </w:tc>
        <w:tc>
          <w:tcPr>
            <w:tcW w:w="1704" w:type="dxa"/>
          </w:tcPr>
          <w:p>
            <w:pPr>
              <w:pStyle w:val="2"/>
              <w:keepNext w:val="0"/>
              <w:keepLines w:val="0"/>
              <w:widowControl/>
              <w:suppressLineNumbers w:val="0"/>
              <w:spacing w:before="0" w:beforeAutospacing="0" w:after="100" w:afterAutospacing="0"/>
              <w:ind w:right="0"/>
              <w:rPr>
                <w:rFonts w:hint="default" w:ascii="Arial" w:hAnsi="Arial" w:cs="Arial"/>
                <w:i w:val="0"/>
                <w:caps w:val="0"/>
                <w:color w:val="333333"/>
                <w:spacing w:val="0"/>
                <w:sz w:val="18"/>
                <w:szCs w:val="18"/>
                <w:bdr w:val="none" w:color="auto" w:sz="0" w:space="0"/>
                <w:shd w:val="clear" w:fill="FFFFFF"/>
                <w:vertAlign w:val="baseline"/>
              </w:rPr>
            </w:pPr>
            <w:r>
              <w:rPr>
                <w:rFonts w:hint="default" w:ascii="Arial" w:hAnsi="Arial" w:cs="Arial"/>
                <w:i w:val="0"/>
                <w:caps w:val="0"/>
                <w:color w:val="333333"/>
                <w:spacing w:val="0"/>
                <w:sz w:val="18"/>
                <w:szCs w:val="18"/>
                <w:shd w:val="clear" w:fill="FFFFFF"/>
              </w:rPr>
              <w:t>10/0.4KV</w:t>
            </w:r>
          </w:p>
        </w:tc>
        <w:tc>
          <w:tcPr>
            <w:tcW w:w="1704" w:type="dxa"/>
          </w:tcPr>
          <w:p>
            <w:pPr>
              <w:pStyle w:val="2"/>
              <w:keepNext w:val="0"/>
              <w:keepLines w:val="0"/>
              <w:widowControl/>
              <w:suppressLineNumbers w:val="0"/>
              <w:spacing w:before="0" w:beforeAutospacing="0" w:after="100" w:afterAutospacing="0"/>
              <w:ind w:right="0"/>
              <w:rPr>
                <w:rFonts w:hint="default" w:ascii="Arial" w:hAnsi="Arial" w:cs="Arial" w:eastAsiaTheme="minorEastAsia"/>
                <w:i w:val="0"/>
                <w:caps w:val="0"/>
                <w:color w:val="333333"/>
                <w:spacing w:val="0"/>
                <w:sz w:val="18"/>
                <w:szCs w:val="18"/>
                <w:bdr w:val="none" w:color="auto" w:sz="0" w:space="0"/>
                <w:shd w:val="clear" w:fill="FFFFFF"/>
                <w:vertAlign w:val="baseline"/>
                <w:lang w:val="en-US" w:eastAsia="zh-CN"/>
              </w:rPr>
            </w:pPr>
            <w:r>
              <w:rPr>
                <w:rFonts w:hint="eastAsia" w:ascii="Arial" w:hAnsi="Arial" w:cs="Arial"/>
                <w:i w:val="0"/>
                <w:caps w:val="0"/>
                <w:color w:val="333333"/>
                <w:spacing w:val="0"/>
                <w:sz w:val="18"/>
                <w:szCs w:val="18"/>
                <w:bdr w:val="none" w:color="auto" w:sz="0" w:space="0"/>
                <w:shd w:val="clear" w:fill="FFFFFF"/>
                <w:vertAlign w:val="baseline"/>
                <w:lang w:val="en-US" w:eastAsia="zh-CN"/>
              </w:rPr>
              <w:t>23</w:t>
            </w:r>
          </w:p>
        </w:tc>
        <w:tc>
          <w:tcPr>
            <w:tcW w:w="1705" w:type="dxa"/>
          </w:tcPr>
          <w:p>
            <w:pPr>
              <w:pStyle w:val="2"/>
              <w:keepNext w:val="0"/>
              <w:keepLines w:val="0"/>
              <w:widowControl/>
              <w:suppressLineNumbers w:val="0"/>
              <w:spacing w:before="0" w:beforeAutospacing="0" w:after="100" w:afterAutospacing="0"/>
              <w:ind w:right="0"/>
              <w:rPr>
                <w:rFonts w:hint="eastAsia" w:ascii="Arial" w:hAnsi="Arial" w:cs="Arial" w:eastAsiaTheme="minorEastAsia"/>
                <w:i w:val="0"/>
                <w:caps w:val="0"/>
                <w:color w:val="333333"/>
                <w:spacing w:val="0"/>
                <w:sz w:val="18"/>
                <w:szCs w:val="18"/>
                <w:bdr w:val="none" w:color="auto" w:sz="0" w:space="0"/>
                <w:shd w:val="clear" w:fill="FFFFFF"/>
                <w:vertAlign w:val="baseline"/>
                <w:lang w:val="en-US" w:eastAsia="zh-CN"/>
              </w:rPr>
            </w:pPr>
            <w:r>
              <w:rPr>
                <w:rFonts w:hint="eastAsia" w:ascii="Arial" w:hAnsi="Arial" w:cs="Arial"/>
                <w:i w:val="0"/>
                <w:caps w:val="0"/>
                <w:color w:val="333333"/>
                <w:spacing w:val="0"/>
                <w:sz w:val="18"/>
                <w:szCs w:val="18"/>
                <w:bdr w:val="none" w:color="auto" w:sz="0" w:space="0"/>
                <w:shd w:val="clear" w:fill="FFFFFF"/>
                <w:vertAlign w:val="baseline"/>
                <w:lang w:val="en-US" w:eastAsia="zh-CN"/>
              </w:rPr>
              <w:t>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right="0"/>
        <w:rPr>
          <w:rFonts w:hint="default" w:ascii="Arial" w:hAnsi="Arial" w:cs="Arial"/>
          <w:i w:val="0"/>
          <w:caps w:val="0"/>
          <w:color w:val="333333"/>
          <w:spacing w:val="0"/>
          <w:sz w:val="18"/>
          <w:szCs w:val="1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负荷计算详见附表。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3.6、继电保护装置的设置；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10kV采用微机保护，进线回路设置速断、过负荷、零序（接地故障）、延时失压四种保护，出线回路设置速断、过负荷、变压器超温保护、零序（接地故障）四种保护。低压主开关采用四段保护，低压出线回路设置三段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3.7、电能计量装置及监测仪表的配置情况；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电量计量按市供电局及公共建筑节能条例要求设计。10kV采用专用计量柜计量，为供电局主用计费表计，低压总进线设置参考计量点。住宅部分在各层竖井设置电表计量。住宅公共部分低压各出线回路和商业10kV及低压各出线回路配置智能多功能表监测回路的各种电力参数，同时预留城市公共建筑能耗监测系统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3.8、功率因数补偿方式：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为提高供配电系统的功率因数，降低无功损耗，采用低压集中进行无功补偿的方式，选择不燃性电容器组进行无功补偿。各变压器补偿容量见（5）条中附表，补偿前后功率因数见附表：负荷计算表。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3.9、操作电源和信号；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10kV采用110V直流操作。低压部分采用交流操作。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3.10、工程供电：中、低压进出线路的型号及敷设方式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10kV进线型号：YJV22-8.7/15 3x300，采用电缆埋地进入地下一层，然后沿桥架敷设至10kV配电室，10kV出线电缆采用YJV-8.7/15型，截面根据工作电流确定，同时复核其动、热稳定性。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eastAsia"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低压出线型号：采用B级阻燃无卤低烟电力电缆（WDZB-YJY）（普通电力用）及B 级阻燃耐火无卤低烟电力电缆（WDZN-YJY）（消防负荷用）。其它末端消防电缆采用相应的耐火电缆/电线（WDZN-YJY /WDZN-BYJ）。大电流回路（包括竖井）采用密集式母线（应急电力用母线采用防火型）。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敷设方式：电缆集中处按应急／普通电力电缆分别采用带盖防火槽式桥架/梯架敷设，末端电缆/电线部分采用穿管敷设，密集式母线采用吊架直接安装，应急电力桥架在电缆敷设完毕后外涂防火漆。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3.11、电源引入、电压等级、配电方式；对重要负荷、特别重要负荷及其它负荷的供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电措施；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本项目采用一路10kV电力电缆引入，低压采用400/230V供电，供电方式采用放射式和树干式相结合的形式。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对消防负荷及重要负荷采用双电源末端切换方式供电；特别重要负荷同时配备在线式UPS不间断电源，应急照明等在发电机启动前的过渡时间采用EPS相对集中供电，方便维护。其它普通负荷按三级负荷供电。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3.12、选用导线、电缆、母干线材质和型号、敷设方式；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10kV采用交联铜芯电缆YJV22/YJV-8.7/15、低压母线-铜母线；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低压电缆-B级阻燃无卤低烟电力（耐火）电缆 WDZB（N）-YJY等，采用桥架安装，普通、消防电力用电缆分别敷设；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低压电线-C/D级阻燃无卤低烟电力（耐火）电线 WDZC/D（N）-BYJ等，采用线槽或套管敷设；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密集母线-XL-D型，直接安装；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3.13、断路器、插座、配电箱、控制箱等配电设备选型及安装方式；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断路器-MT系/E系或同类、NSX系列或同类；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插座-B系列或同类；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配电箱、控制箱-标准箱/非标箱，按设计定制；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3.14、电动机启动及控制方式的选择；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水泵—大于22kW变频启动，潜水泵等直接启动，流量及水位控制，同时可由BA 控制或手动控制；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风机---大于22kW星／三角启动，其它直接启动，根椐空气质量自动控制，同时可由BA控制（非消防用风机）、消防自动控制或手动控制；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4、照明系统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eastAsia"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4.1 照明的种类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本工程设正常照明和火灾应急照明。火灾应急照明又包括备用照明和疏散照明。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4.2 照度标准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照度标准按现行国家标准《建筑照明设计标准》GB50034-2004执行。主要场所功率密度值及照度标准见下表：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0"/>
        <w:jc w:val="center"/>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drawing>
          <wp:inline distT="0" distB="0" distL="114300" distR="114300">
            <wp:extent cx="4972050" cy="4838700"/>
            <wp:effectExtent l="0" t="0" r="635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4972050" cy="48387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bdr w:val="none" w:color="auto" w:sz="0" w:space="0"/>
          <w:shd w:val="clear" w:fill="FFFFFF"/>
        </w:rPr>
      </w:pPr>
      <w:r>
        <w:rPr>
          <w:rFonts w:hint="default" w:ascii="Arial" w:hAnsi="Arial" w:cs="Arial"/>
          <w:i w:val="0"/>
          <w:caps w:val="0"/>
          <w:color w:val="333333"/>
          <w:spacing w:val="0"/>
          <w:sz w:val="18"/>
          <w:szCs w:val="18"/>
          <w:bdr w:val="none" w:color="auto" w:sz="0" w:space="0"/>
          <w:shd w:val="clear" w:fill="FFFFFF"/>
        </w:rPr>
        <w:t>表格中为列入的其他场所按上述规范执行。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eastAsia"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4.1.2 光源及灯具选择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1）光源：一般场所为荧光灯或节能型光源，有装修要求的场所视装修情况而定，但照度应负荷有关规范要求。用于应急照明的选择可快速点亮光源。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2）灯具选择：办公室采用三基色节能荧光灯，管吊安装，单独控制；超市、商场及汽车库选用三基色节能荧光灯，暗装方式结合装修时具体情况确定，分区域集中控制；办变配电室采用三基色节能荧光灯，管吊安装，单独控制；设备用房采用小功率金属钠灯，管吊安装，单独控制；住宅部分的楼梯间及走道采用紧凑型节能荧光灯，吸顶安装，声光控开关单独控制；住宅内部设计时均按白炽灯考虑，用户入住后结合装修自行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4.1.3 照明线路线缆选择及敷设方式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1）照明及插座分别由不同的单相分支回路供电除注明者外，照明支路导线采用BV-2.5mm2导线穿FPC管敷设；插座支路导线采用BV-4.0mm2导线穿FPC管敷设，所有插座支路（空调插座支路除外）均带有漏电保护功能。应急照明支路采用ZRBV-2.5mm2导线穿SC 管敷设。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2）所有回路采用PN+N+PE配线制。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4.1.4 应急照明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1）疏散照明：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车库、商场及超市的大厅，疏散楼梯间，电梯前室，楼梯间前室，合用前室等处设疏散照明。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eastAsia"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住宅楼梯间，楼梯间前室，合用前室等处设疏散照明。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疏散照明采用双电源供电方式。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2）备用照明：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消防控制室、变配电室、消防水泵房、电梯机房等处设置备用照明，采用双电源供电方式。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5 人防工程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5.1 本工程人防等级为核六级。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5.2 人防电源引入点目前设计阶段待定。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5.3 人防呼唤音响按钮为防护型，底边距地1.4米，音响装置底边距地2.4m。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5.4 清洁、滤毒及隔绝三种通风方式的音响及灯光信号设置在最里一道密闭门的内侧，底边距地 2.4m，手动控制开关设在通风机房内，底边距地1.5m。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5.5 采用重量较轻的灯具，卡口灯头，链掉安装。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5.6 从人防内部至防护密闭门外的照明线路，在防护密闭门内侧（防护密闭门与密闭门之间）距地2.3m处单独设置熔断器做短路保护（单独回路不舍）。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5.7 引入人防的所有管线在穿过围护结构、保护密闭隔墙、密闭隔墙时，应用预留管盒，以便战时做保护密闭或密闭处理。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5.8 人防的所有管线均为热镀锌钢管，暗敷设。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5.9 电气设备选用防潮性能好的定性产品。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bdr w:val="none" w:color="auto" w:sz="0" w:space="0"/>
          <w:shd w:val="clear" w:fill="FFFFFF"/>
        </w:rPr>
      </w:pPr>
      <w:r>
        <w:rPr>
          <w:rFonts w:hint="default" w:ascii="Arial" w:hAnsi="Arial" w:cs="Arial"/>
          <w:i w:val="0"/>
          <w:caps w:val="0"/>
          <w:color w:val="333333"/>
          <w:spacing w:val="0"/>
          <w:sz w:val="18"/>
          <w:szCs w:val="18"/>
          <w:bdr w:val="none" w:color="auto" w:sz="0" w:space="0"/>
          <w:shd w:val="clear" w:fill="FFFFFF"/>
        </w:rPr>
        <w:t>6 电气节能及环保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eastAsia"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6.1 合理确定变压器容量。变压器均采用D/Yn11型结线、低损耗、低噪声、可回收的节能型干式变压器，采用大干线配电的方式，减少线损，同时合理选用配电形式减少配电环节。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6.3 无功功率因数的补偿采用集中补偿和分散就地补偿相结合的方式，变电所低压母线处设置集中补偿装置，补偿后的功率因数保证在0.95以上。荧光灯及高压钠灯采用就地补偿，选择电子式镇流器或节能型高功率因数电感镇流器，单灯功率因数不小于0.9。当采用合理的功率因数补偿及谐波抑制措施后，可减少变频及电子设备对低压配电系统造成的谐波污染，提高电网质量，减少对上级电网单的影响，并降低自身损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6.4 根据照明场所的功能要求确定照明功率密度值，按《建筑照明设计标准》GB50034-2004之要求进行电气照明设计。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6.5 采用高效光源及高效灯具。一般工作场所采用细管径只管荧光灯和紧凑型节能荧光灯。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6.6 采用绿色环保且经国家有关部门认定的电气产品。在瞒住国家规范及供电行业标准的前提下，选用高性能变压器及相关配电设备，选用高品质电线电缆，降低供配电系统自身损耗。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6.7 商业部分分层计量，住宅部分分户计量。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7 防雷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7.1 本工程按二类防雷措施设防。建筑物电子信息系统防雷等级为D 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eastAsia"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7.2 在楼层屋面设置避雷带作为防直击雷接闪器，利用建筑物结构柱内主筋做引下线，利用结构基础内钢筋网做接地体。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为防止侧向雷击，高度超过45m及以上的外墙上金属构件、门窗等较大金属物应与防雷装置连接；竖向敷设的金属管道及金属物的顶部和底部应与防雷装置连接。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为防止雷电波侵入，电缆进线在进入建筑物时将电缆的金属外皮、保护钢管等与电气设备接地装置连接。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shd w:val="clear" w:fill="FFFFFF"/>
        </w:rPr>
      </w:pPr>
      <w:r>
        <w:rPr>
          <w:rFonts w:hint="default" w:ascii="Arial" w:hAnsi="Arial" w:cs="Arial"/>
          <w:i w:val="0"/>
          <w:caps w:val="0"/>
          <w:color w:val="333333"/>
          <w:spacing w:val="0"/>
          <w:sz w:val="18"/>
          <w:szCs w:val="18"/>
          <w:bdr w:val="none" w:color="auto" w:sz="0" w:space="0"/>
          <w:shd w:val="clear" w:fill="FFFFFF"/>
        </w:rPr>
        <w:t>电子信息系统的各种箱体、壳体、机架等金属组件与建筑物的共用接地网做等电位连接。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eastAsia"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8 接地及安全措施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本工程低压系统接地采用TN-S形式。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防雷接地、变压器中性点工作接地及电气系统保护接地等共用一组接地装置，接地电阻不大于1欧姆，当接地电阻达不到设计要求时应在室外增加人工接地装置。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本工程采用等电位连接，在消防控制室、住宅卫生间等处设局部等电位连接。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bdr w:val="none" w:color="auto" w:sz="0" w:space="0"/>
          <w:shd w:val="clear" w:fill="FFFFFF"/>
        </w:rPr>
      </w:pPr>
      <w:r>
        <w:rPr>
          <w:rFonts w:hint="default" w:ascii="Arial" w:hAnsi="Arial" w:cs="Arial"/>
          <w:i w:val="0"/>
          <w:caps w:val="0"/>
          <w:color w:val="333333"/>
          <w:spacing w:val="0"/>
          <w:sz w:val="18"/>
          <w:szCs w:val="18"/>
          <w:bdr w:val="none" w:color="auto" w:sz="0" w:space="0"/>
          <w:shd w:val="clear" w:fill="FFFFFF"/>
        </w:rPr>
        <w:t>有线电视引入端、电信引入端设信号过电压保护装置。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eastAsia"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强弱电系统共用接地装置。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r>
        <w:rPr>
          <w:rFonts w:hint="default" w:ascii="Arial" w:hAnsi="Arial" w:cs="Arial"/>
          <w:i w:val="0"/>
          <w:caps w:val="0"/>
          <w:color w:val="333333"/>
          <w:spacing w:val="0"/>
          <w:sz w:val="18"/>
          <w:szCs w:val="18"/>
          <w:bdr w:val="none" w:color="auto" w:sz="0" w:space="0"/>
          <w:shd w:val="clear" w:fill="FFFFFF"/>
        </w:rPr>
        <w:t>电梯机房、消防控制室等弱电设备用房的接地利用建筑物的共用接地装置，设独立引下线，采用25x4镀锌扁钢。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420"/>
        <w:rPr>
          <w:rFonts w:hint="default" w:ascii="Arial" w:hAnsi="Arial" w:cs="Arial"/>
          <w:i w:val="0"/>
          <w:caps w:val="0"/>
          <w:color w:val="333333"/>
          <w:spacing w:val="0"/>
          <w:sz w:val="18"/>
          <w:szCs w:val="18"/>
          <w:bdr w:val="none" w:color="auto" w:sz="0" w:space="0"/>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F614B"/>
    <w:rsid w:val="10054672"/>
    <w:rsid w:val="15C41796"/>
    <w:rsid w:val="1D31273B"/>
    <w:rsid w:val="1D9D7403"/>
    <w:rsid w:val="1F3007DE"/>
    <w:rsid w:val="24EA7607"/>
    <w:rsid w:val="27537B1E"/>
    <w:rsid w:val="3DF06D0D"/>
    <w:rsid w:val="411C13C3"/>
    <w:rsid w:val="41CD3F54"/>
    <w:rsid w:val="423F091C"/>
    <w:rsid w:val="43517F19"/>
    <w:rsid w:val="4426756B"/>
    <w:rsid w:val="4B2024BF"/>
    <w:rsid w:val="517A2380"/>
    <w:rsid w:val="51E314CB"/>
    <w:rsid w:val="54CA7D3F"/>
    <w:rsid w:val="58B77EBD"/>
    <w:rsid w:val="58D654CA"/>
    <w:rsid w:val="5CF72E6B"/>
    <w:rsid w:val="5EB1596C"/>
    <w:rsid w:val="65955718"/>
    <w:rsid w:val="6AF954FB"/>
    <w:rsid w:val="712B46D3"/>
    <w:rsid w:val="71807282"/>
    <w:rsid w:val="721C02D5"/>
    <w:rsid w:val="74E86F46"/>
    <w:rsid w:val="79E23317"/>
    <w:rsid w:val="7AE35A32"/>
    <w:rsid w:val="7F4C5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2022-03-09T14:19:47Z</dcterms:created>
  <dc:creator>建模大师</dc:creator>
  <cp:lastModifiedBy>vinsamis</cp:lastModifiedBy>
  <dcterms:modified xsi:type="dcterms:W3CDTF">2022-03-09T14:54:02Z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2052-11.1.0.9986</vt:lpwstr>
  </property>
</Properties>
</file>