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计算分析建筑碳排放量（固有+运行</w:t>
      </w:r>
      <w:bookmarkStart w:id="0" w:name="_GoBack"/>
      <w:bookmarkEnd w:id="0"/>
      <w:r>
        <w:rPr>
          <w:rFonts w:hint="eastAsia" w:ascii="黑体" w:hAnsi="黑体" w:eastAsia="黑体" w:cs="黑体"/>
          <w:b/>
          <w:bCs/>
          <w:sz w:val="30"/>
          <w:szCs w:val="30"/>
          <w:lang w:val="en-US" w:eastAsia="zh-CN"/>
        </w:rPr>
        <w:t>）</w:t>
      </w:r>
    </w:p>
    <w:p>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1计算模型</w:t>
      </w:r>
    </w:p>
    <w:p>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1.1碳排放系数计算模型:Gco</w:t>
      </w:r>
      <w:r>
        <w:rPr>
          <w:rFonts w:hint="eastAsia" w:ascii="宋体" w:hAnsi="宋体" w:eastAsia="宋体" w:cs="宋体"/>
          <w:b w:val="0"/>
          <w:bCs w:val="0"/>
          <w:sz w:val="28"/>
          <w:szCs w:val="28"/>
          <w:vertAlign w:val="subscript"/>
          <w:lang w:val="en-US" w:eastAsia="zh-CN"/>
        </w:rPr>
        <w:t>2</w:t>
      </w:r>
      <w:r>
        <w:rPr>
          <w:rFonts w:hint="eastAsia" w:ascii="宋体" w:hAnsi="宋体" w:eastAsia="宋体" w:cs="宋体"/>
          <w:b w:val="0"/>
          <w:bCs w:val="0"/>
          <w:sz w:val="28"/>
          <w:szCs w:val="28"/>
          <w:lang w:val="en-US" w:eastAsia="zh-CN"/>
        </w:rPr>
        <w:t>=CX</w:t>
      </w:r>
    </w:p>
    <w:p>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其中:GCO,为碳排放量;C为碳排放系数；X是活动因子。各阶段的碳排放系数不同，碳排放活动的影响因素也不同。</w:t>
      </w:r>
    </w:p>
    <w:p>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 阶段计算模型</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Pr>
          <w:p>
            <w:pPr>
              <w:jc w:val="both"/>
              <w:rPr>
                <w:rFonts w:hint="eastAsia" w:ascii="宋体" w:hAnsi="宋体" w:eastAsia="宋体" w:cs="宋体"/>
                <w:b w:val="0"/>
                <w:bCs w:val="0"/>
                <w:sz w:val="28"/>
                <w:szCs w:val="28"/>
                <w:vertAlign w:val="baseline"/>
                <w:lang w:val="en-US" w:eastAsia="zh-CN"/>
              </w:rPr>
            </w:pPr>
            <w:r>
              <w:drawing>
                <wp:inline distT="0" distB="0" distL="114300" distR="114300">
                  <wp:extent cx="5368925" cy="5760085"/>
                  <wp:effectExtent l="0" t="0" r="1079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368925" cy="5760085"/>
                          </a:xfrm>
                          <a:prstGeom prst="rect">
                            <a:avLst/>
                          </a:prstGeom>
                          <a:noFill/>
                          <a:ln>
                            <a:noFill/>
                          </a:ln>
                        </pic:spPr>
                      </pic:pic>
                    </a:graphicData>
                  </a:graphic>
                </wp:inline>
              </w:drawing>
            </w:r>
          </w:p>
        </w:tc>
      </w:tr>
    </w:tbl>
    <w:p>
      <w:pPr>
        <w:jc w:val="both"/>
        <w:rPr>
          <w:rFonts w:hint="eastAsia" w:ascii="宋体" w:hAnsi="宋体" w:eastAsia="宋体" w:cs="宋体"/>
          <w:b w:val="0"/>
          <w:bCs w:val="0"/>
          <w:sz w:val="28"/>
          <w:szCs w:val="28"/>
          <w:lang w:val="en-US" w:eastAsia="zh-CN"/>
        </w:rPr>
      </w:pPr>
    </w:p>
    <w:p>
      <w:pPr>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 项目计算</w:t>
      </w:r>
    </w:p>
    <w:p>
      <w:pPr>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default" w:ascii="宋体" w:hAnsi="宋体" w:eastAsia="宋体" w:cs="宋体"/>
          <w:b w:val="0"/>
          <w:bCs w:val="0"/>
          <w:sz w:val="28"/>
          <w:szCs w:val="28"/>
          <w:lang w:val="en-US" w:eastAsia="zh-CN"/>
        </w:rPr>
        <w:t>.1建筑概况</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本项目是</w:t>
      </w:r>
      <w:r>
        <w:rPr>
          <w:rFonts w:hint="eastAsia" w:ascii="宋体" w:hAnsi="宋体" w:eastAsia="宋体" w:cs="宋体"/>
          <w:b w:val="0"/>
          <w:bCs w:val="0"/>
          <w:sz w:val="28"/>
          <w:szCs w:val="28"/>
          <w:lang w:val="en-US" w:eastAsia="zh-CN"/>
        </w:rPr>
        <w:t>重庆</w:t>
      </w:r>
      <w:r>
        <w:rPr>
          <w:rFonts w:hint="default" w:ascii="宋体" w:hAnsi="宋体" w:eastAsia="宋体" w:cs="宋体"/>
          <w:b w:val="0"/>
          <w:bCs w:val="0"/>
          <w:sz w:val="28"/>
          <w:szCs w:val="28"/>
          <w:lang w:val="en-US" w:eastAsia="zh-CN"/>
        </w:rPr>
        <w:t>市某高层住宅楼，总的建筑面积为31</w:t>
      </w:r>
      <w:r>
        <w:rPr>
          <w:rFonts w:hint="eastAsia" w:ascii="宋体" w:hAnsi="宋体" w:eastAsia="宋体" w:cs="宋体"/>
          <w:b w:val="0"/>
          <w:bCs w:val="0"/>
          <w:sz w:val="28"/>
          <w:szCs w:val="28"/>
          <w:lang w:val="en-US" w:eastAsia="zh-CN"/>
        </w:rPr>
        <w:t>460</w:t>
      </w:r>
      <w:r>
        <w:rPr>
          <w:rFonts w:hint="default" w:ascii="宋体" w:hAnsi="宋体" w:eastAsia="宋体" w:cs="宋体"/>
          <w:b w:val="0"/>
          <w:bCs w:val="0"/>
          <w:sz w:val="28"/>
          <w:szCs w:val="28"/>
          <w:lang w:val="en-US" w:eastAsia="zh-CN"/>
        </w:rPr>
        <w:t>m2。楼层为</w:t>
      </w:r>
      <w:r>
        <w:rPr>
          <w:rFonts w:hint="eastAsia" w:ascii="宋体" w:hAnsi="宋体" w:eastAsia="宋体" w:cs="宋体"/>
          <w:b w:val="0"/>
          <w:bCs w:val="0"/>
          <w:sz w:val="28"/>
          <w:szCs w:val="28"/>
          <w:lang w:val="en-US" w:eastAsia="zh-CN"/>
        </w:rPr>
        <w:t>地上18</w:t>
      </w:r>
      <w:r>
        <w:rPr>
          <w:rFonts w:hint="default" w:ascii="宋体" w:hAnsi="宋体" w:eastAsia="宋体" w:cs="宋体"/>
          <w:b w:val="0"/>
          <w:bCs w:val="0"/>
          <w:sz w:val="28"/>
          <w:szCs w:val="28"/>
          <w:lang w:val="en-US" w:eastAsia="zh-CN"/>
        </w:rPr>
        <w:t>层，</w:t>
      </w:r>
      <w:r>
        <w:rPr>
          <w:rFonts w:hint="eastAsia" w:ascii="宋体" w:hAnsi="宋体" w:eastAsia="宋体" w:cs="宋体"/>
          <w:b w:val="0"/>
          <w:bCs w:val="0"/>
          <w:sz w:val="28"/>
          <w:szCs w:val="28"/>
          <w:lang w:val="en-US" w:eastAsia="zh-CN"/>
        </w:rPr>
        <w:t>地上面积28314平米，地下面积3146平米。</w:t>
      </w:r>
      <w:r>
        <w:rPr>
          <w:rFonts w:hint="default" w:ascii="宋体" w:hAnsi="宋体" w:eastAsia="宋体" w:cs="宋体"/>
          <w:b w:val="0"/>
          <w:bCs w:val="0"/>
          <w:sz w:val="28"/>
          <w:szCs w:val="28"/>
          <w:lang w:val="en-US" w:eastAsia="zh-CN"/>
        </w:rPr>
        <w:t>是一栋总规模为</w:t>
      </w:r>
      <w:r>
        <w:rPr>
          <w:rFonts w:hint="eastAsia" w:ascii="宋体" w:hAnsi="宋体" w:eastAsia="宋体" w:cs="宋体"/>
          <w:b w:val="0"/>
          <w:bCs w:val="0"/>
          <w:sz w:val="28"/>
          <w:szCs w:val="28"/>
          <w:lang w:val="en-US" w:eastAsia="zh-CN"/>
        </w:rPr>
        <w:t>290</w:t>
      </w:r>
      <w:r>
        <w:rPr>
          <w:rFonts w:hint="default" w:ascii="宋体" w:hAnsi="宋体" w:eastAsia="宋体" w:cs="宋体"/>
          <w:b w:val="0"/>
          <w:bCs w:val="0"/>
          <w:sz w:val="28"/>
          <w:szCs w:val="28"/>
          <w:lang w:val="en-US" w:eastAsia="zh-CN"/>
        </w:rPr>
        <w:t>户的高层住宅楼。结构的类型是框支剪剪力墙结构。住宅年限50年。</w:t>
      </w:r>
    </w:p>
    <w:p>
      <w:pPr>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default" w:ascii="宋体" w:hAnsi="宋体" w:eastAsia="宋体" w:cs="宋体"/>
          <w:b w:val="0"/>
          <w:bCs w:val="0"/>
          <w:sz w:val="28"/>
          <w:szCs w:val="28"/>
          <w:lang w:val="en-US" w:eastAsia="zh-CN"/>
        </w:rPr>
        <w:t>.2数据来源</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在施工阶段，材料运输的过程主要考虑建材运输到施工现场所消耗的能源而产生的二氧化碳排放量。材料运输采用汽油车公路运输，公路运输（汽油）的二氧化碳排放因子为2004kgCO</w:t>
      </w:r>
      <w:r>
        <w:rPr>
          <w:rFonts w:hint="eastAsia" w:ascii="宋体" w:hAnsi="宋体" w:eastAsia="宋体" w:cs="宋体"/>
          <w:b w:val="0"/>
          <w:bCs w:val="0"/>
          <w:sz w:val="28"/>
          <w:szCs w:val="28"/>
          <w:vertAlign w:val="subscript"/>
          <w:lang w:val="en-US" w:eastAsia="zh-CN"/>
        </w:rPr>
        <w:t>2</w:t>
      </w:r>
      <w:r>
        <w:rPr>
          <w:rFonts w:hint="default" w:ascii="宋体" w:hAnsi="宋体" w:eastAsia="宋体" w:cs="宋体"/>
          <w:b w:val="0"/>
          <w:bCs w:val="0"/>
          <w:sz w:val="28"/>
          <w:szCs w:val="28"/>
          <w:lang w:val="en-US" w:eastAsia="zh-CN"/>
        </w:rPr>
        <w:t>/10</w:t>
      </w:r>
      <w:r>
        <w:rPr>
          <w:rFonts w:hint="eastAsia" w:ascii="宋体" w:hAnsi="宋体" w:eastAsia="宋体" w:cs="宋体"/>
          <w:b w:val="0"/>
          <w:bCs w:val="0"/>
          <w:sz w:val="28"/>
          <w:szCs w:val="28"/>
          <w:vertAlign w:val="superscript"/>
          <w:lang w:val="en-US" w:eastAsia="zh-CN"/>
        </w:rPr>
        <w:t>4</w:t>
      </w:r>
      <w:r>
        <w:rPr>
          <w:rFonts w:hint="default" w:ascii="宋体" w:hAnsi="宋体" w:eastAsia="宋体" w:cs="宋体"/>
          <w:b w:val="0"/>
          <w:bCs w:val="0"/>
          <w:sz w:val="28"/>
          <w:szCs w:val="28"/>
          <w:lang w:val="en-US" w:eastAsia="zh-CN"/>
        </w:rPr>
        <w:t>t，材料的单位统一为质量单位。材料的使用量作为材料的运输量，至于材料的运输距离，可以采用台湾地区的统计的平均运距来作为运输距离的缺省值。施工阶段本身的碳排放主要来源于建造施工所消耗的柴油、汽油、水、电的使用量。</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运行阶段中，设备使用主要就是家用电器、空调、电梯、照明、通风、炊事等能源和水资源的消耗，从电能、天然气、水资源三大能源方面进行设备使用的碳排放计算;因为缺乏相应的数据，有些文献中进行了科学的假设，建筑维护更新阶段每年的二氧化碳排放量可以按照建造施工阶段（包含建造施工和材料运输两个阶段，即:材料运输到施工现场进行建造施工这一过程)碳排放的20%计算。住宅年平均电能消耗为47.23KWh/m</w:t>
      </w:r>
      <w:r>
        <w:rPr>
          <w:rFonts w:hint="default" w:ascii="宋体" w:hAnsi="宋体" w:eastAsia="宋体" w:cs="宋体"/>
          <w:b w:val="0"/>
          <w:bCs w:val="0"/>
          <w:sz w:val="28"/>
          <w:szCs w:val="28"/>
          <w:vertAlign w:val="superscript"/>
          <w:lang w:val="en-US" w:eastAsia="zh-CN"/>
        </w:rPr>
        <w:t>2</w:t>
      </w:r>
      <w:r>
        <w:rPr>
          <w:rFonts w:hint="default" w:ascii="宋体" w:hAnsi="宋体" w:eastAsia="宋体" w:cs="宋体"/>
          <w:b w:val="0"/>
          <w:bCs w:val="0"/>
          <w:sz w:val="28"/>
          <w:szCs w:val="28"/>
          <w:lang w:val="en-US" w:eastAsia="zh-CN"/>
        </w:rPr>
        <w:t>.水资源的消耗量为200.94L/人·日，A住宅人数448人，B住宅人数2028人，贵阳市年天然气能耗为368.78m</w:t>
      </w:r>
      <w:r>
        <w:rPr>
          <w:rFonts w:hint="default" w:ascii="宋体" w:hAnsi="宋体" w:eastAsia="宋体" w:cs="宋体"/>
          <w:b w:val="0"/>
          <w:bCs w:val="0"/>
          <w:sz w:val="28"/>
          <w:szCs w:val="28"/>
          <w:vertAlign w:val="superscript"/>
          <w:lang w:val="en-US" w:eastAsia="zh-CN"/>
        </w:rPr>
        <w:t>3</w:t>
      </w:r>
      <w:r>
        <w:rPr>
          <w:rFonts w:hint="default" w:ascii="宋体" w:hAnsi="宋体" w:eastAsia="宋体" w:cs="宋体"/>
          <w:b w:val="0"/>
          <w:bCs w:val="0"/>
          <w:sz w:val="28"/>
          <w:szCs w:val="28"/>
          <w:lang w:val="en-US" w:eastAsia="zh-CN"/>
        </w:rPr>
        <w:t>/户。</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电的排放因子为0.4506tCO</w:t>
      </w:r>
      <w:r>
        <w:rPr>
          <w:rFonts w:hint="eastAsia" w:ascii="宋体" w:hAnsi="宋体" w:eastAsia="宋体" w:cs="宋体"/>
          <w:b w:val="0"/>
          <w:bCs w:val="0"/>
          <w:sz w:val="28"/>
          <w:szCs w:val="28"/>
          <w:vertAlign w:val="subscript"/>
          <w:lang w:val="en-US" w:eastAsia="zh-CN"/>
        </w:rPr>
        <w:t>2</w:t>
      </w:r>
      <w:r>
        <w:rPr>
          <w:rFonts w:hint="default" w:ascii="宋体" w:hAnsi="宋体" w:eastAsia="宋体" w:cs="宋体"/>
          <w:b w:val="0"/>
          <w:bCs w:val="0"/>
          <w:sz w:val="28"/>
          <w:szCs w:val="28"/>
          <w:lang w:val="en-US" w:eastAsia="zh-CN"/>
        </w:rPr>
        <w:t>/M Wh.汽油、柴油、天然气的碳排放因子分别为3.67kgCO</w:t>
      </w:r>
      <w:r>
        <w:rPr>
          <w:rFonts w:hint="eastAsia" w:ascii="宋体" w:hAnsi="宋体" w:eastAsia="宋体" w:cs="宋体"/>
          <w:b w:val="0"/>
          <w:bCs w:val="0"/>
          <w:sz w:val="28"/>
          <w:szCs w:val="28"/>
          <w:vertAlign w:val="subscript"/>
          <w:lang w:val="en-US" w:eastAsia="zh-CN"/>
        </w:rPr>
        <w:t>2</w:t>
      </w:r>
      <w:r>
        <w:rPr>
          <w:rFonts w:hint="default" w:ascii="宋体" w:hAnsi="宋体" w:eastAsia="宋体" w:cs="宋体"/>
          <w:b w:val="0"/>
          <w:bCs w:val="0"/>
          <w:sz w:val="28"/>
          <w:szCs w:val="28"/>
          <w:lang w:val="en-US" w:eastAsia="zh-CN"/>
        </w:rPr>
        <w:t>/kg、3.5kgCO</w:t>
      </w:r>
      <w:r>
        <w:rPr>
          <w:rFonts w:hint="eastAsia" w:ascii="宋体" w:hAnsi="宋体" w:eastAsia="宋体" w:cs="宋体"/>
          <w:b w:val="0"/>
          <w:bCs w:val="0"/>
          <w:sz w:val="28"/>
          <w:szCs w:val="28"/>
          <w:vertAlign w:val="subscript"/>
          <w:lang w:val="en-US" w:eastAsia="zh-CN"/>
        </w:rPr>
        <w:t>2</w:t>
      </w:r>
      <w:r>
        <w:rPr>
          <w:rFonts w:hint="default" w:ascii="宋体" w:hAnsi="宋体" w:eastAsia="宋体" w:cs="宋体"/>
          <w:b w:val="0"/>
          <w:bCs w:val="0"/>
          <w:sz w:val="28"/>
          <w:szCs w:val="28"/>
          <w:lang w:val="en-US" w:eastAsia="zh-CN"/>
        </w:rPr>
        <w:t>/kg、2.36kgCO</w:t>
      </w:r>
      <w:r>
        <w:rPr>
          <w:rFonts w:hint="eastAsia" w:ascii="宋体" w:hAnsi="宋体" w:eastAsia="宋体" w:cs="宋体"/>
          <w:b w:val="0"/>
          <w:bCs w:val="0"/>
          <w:sz w:val="28"/>
          <w:szCs w:val="28"/>
          <w:vertAlign w:val="subscript"/>
          <w:lang w:val="en-US" w:eastAsia="zh-CN"/>
        </w:rPr>
        <w:t>2</w:t>
      </w:r>
      <w:r>
        <w:rPr>
          <w:rFonts w:hint="default" w:ascii="宋体" w:hAnsi="宋体" w:eastAsia="宋体" w:cs="宋体"/>
          <w:b w:val="0"/>
          <w:bCs w:val="0"/>
          <w:sz w:val="28"/>
          <w:szCs w:val="28"/>
          <w:lang w:val="en-US" w:eastAsia="zh-CN"/>
        </w:rPr>
        <w:t>/m</w:t>
      </w:r>
      <w:r>
        <w:rPr>
          <w:rFonts w:hint="eastAsia" w:ascii="宋体" w:hAnsi="宋体" w:eastAsia="宋体" w:cs="宋体"/>
          <w:b w:val="0"/>
          <w:bCs w:val="0"/>
          <w:sz w:val="28"/>
          <w:szCs w:val="28"/>
          <w:vertAlign w:val="superscript"/>
          <w:lang w:val="en-US" w:eastAsia="zh-CN"/>
        </w:rPr>
        <w:t>3</w:t>
      </w:r>
      <w:r>
        <w:rPr>
          <w:rFonts w:hint="default" w:ascii="宋体" w:hAnsi="宋体" w:eastAsia="宋体" w:cs="宋体"/>
          <w:b w:val="0"/>
          <w:bCs w:val="0"/>
          <w:sz w:val="28"/>
          <w:szCs w:val="28"/>
          <w:lang w:val="en-US" w:eastAsia="zh-CN"/>
        </w:rPr>
        <w:t>、水的碳排放因子0.88kg/m</w:t>
      </w:r>
      <w:r>
        <w:rPr>
          <w:rFonts w:hint="default" w:ascii="宋体" w:hAnsi="宋体" w:eastAsia="宋体" w:cs="宋体"/>
          <w:b w:val="0"/>
          <w:bCs w:val="0"/>
          <w:sz w:val="28"/>
          <w:szCs w:val="28"/>
          <w:vertAlign w:val="superscript"/>
          <w:lang w:val="en-US" w:eastAsia="zh-CN"/>
        </w:rPr>
        <w:t>3</w:t>
      </w:r>
      <w:r>
        <w:rPr>
          <w:rFonts w:hint="default" w:ascii="宋体" w:hAnsi="宋体" w:eastAsia="宋体" w:cs="宋体"/>
          <w:b w:val="0"/>
          <w:bCs w:val="0"/>
          <w:sz w:val="28"/>
          <w:szCs w:val="28"/>
          <w:lang w:val="en-US" w:eastAsia="zh-CN"/>
        </w:rPr>
        <w:t>。</w:t>
      </w: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vertAlign w:val="baseline"/>
                <w:lang w:val="en-US" w:eastAsia="zh-CN"/>
              </w:rPr>
            </w:pPr>
            <w:r>
              <w:drawing>
                <wp:anchor distT="0" distB="0" distL="114300" distR="114300" simplePos="0" relativeHeight="251659264" behindDoc="0" locked="0" layoutInCell="1" allowOverlap="1">
                  <wp:simplePos x="0" y="0"/>
                  <wp:positionH relativeFrom="column">
                    <wp:posOffset>678815</wp:posOffset>
                  </wp:positionH>
                  <wp:positionV relativeFrom="paragraph">
                    <wp:posOffset>83820</wp:posOffset>
                  </wp:positionV>
                  <wp:extent cx="3916680" cy="1800225"/>
                  <wp:effectExtent l="0" t="0" r="0" b="133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916680" cy="1800225"/>
                          </a:xfrm>
                          <a:prstGeom prst="rect">
                            <a:avLst/>
                          </a:prstGeom>
                          <a:noFill/>
                          <a:ln>
                            <a:noFill/>
                          </a:ln>
                        </pic:spPr>
                      </pic:pic>
                    </a:graphicData>
                  </a:graphic>
                </wp:anchor>
              </w:drawing>
            </w:r>
          </w:p>
        </w:tc>
      </w:tr>
    </w:tbl>
    <w:p>
      <w:pPr>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default" w:ascii="宋体"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3结果分析</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通过以</w:t>
      </w:r>
      <w:r>
        <w:rPr>
          <w:rFonts w:hint="eastAsia" w:ascii="宋体" w:hAnsi="宋体" w:eastAsia="宋体" w:cs="宋体"/>
          <w:b w:val="0"/>
          <w:bCs w:val="0"/>
          <w:sz w:val="28"/>
          <w:szCs w:val="28"/>
          <w:lang w:val="en-US" w:eastAsia="zh-CN"/>
        </w:rPr>
        <w:t>上</w:t>
      </w:r>
      <w:r>
        <w:rPr>
          <w:rFonts w:hint="default" w:ascii="宋体" w:hAnsi="宋体" w:eastAsia="宋体" w:cs="宋体"/>
          <w:b w:val="0"/>
          <w:bCs w:val="0"/>
          <w:sz w:val="28"/>
          <w:szCs w:val="28"/>
          <w:lang w:val="en-US" w:eastAsia="zh-CN"/>
        </w:rPr>
        <w:t>图表可知，通过对本住宅建筑碳排放的计算，施工阶段总的碳排放量为</w:t>
      </w:r>
      <w:r>
        <w:rPr>
          <w:rFonts w:hint="eastAsia" w:ascii="宋体" w:hAnsi="宋体" w:eastAsia="宋体" w:cs="宋体"/>
          <w:b w:val="0"/>
          <w:bCs w:val="0"/>
          <w:sz w:val="28"/>
          <w:szCs w:val="28"/>
          <w:lang w:val="en-US" w:eastAsia="zh-CN"/>
        </w:rPr>
        <w:t>269</w:t>
      </w:r>
      <w:r>
        <w:rPr>
          <w:rFonts w:hint="default" w:ascii="宋体" w:hAnsi="宋体" w:eastAsia="宋体" w:cs="宋体"/>
          <w:b w:val="0"/>
          <w:bCs w:val="0"/>
          <w:sz w:val="28"/>
          <w:szCs w:val="28"/>
          <w:lang w:val="en-US" w:eastAsia="zh-CN"/>
        </w:rPr>
        <w:t xml:space="preserve"> kg/㎡，运行阶段总的碳排放为</w:t>
      </w:r>
      <w:r>
        <w:rPr>
          <w:rFonts w:hint="eastAsia" w:ascii="宋体" w:hAnsi="宋体" w:eastAsia="宋体" w:cs="宋体"/>
          <w:b w:val="0"/>
          <w:bCs w:val="0"/>
          <w:sz w:val="28"/>
          <w:szCs w:val="28"/>
          <w:lang w:val="en-US" w:eastAsia="zh-CN"/>
        </w:rPr>
        <w:t>27924 t</w:t>
      </w:r>
      <w:r>
        <w:rPr>
          <w:rFonts w:hint="default" w:ascii="宋体" w:hAnsi="宋体" w:eastAsia="宋体" w:cs="宋体"/>
          <w:b w:val="0"/>
          <w:bCs w:val="0"/>
          <w:sz w:val="28"/>
          <w:szCs w:val="28"/>
          <w:lang w:val="en-US" w:eastAsia="zh-CN"/>
        </w:rPr>
        <w:t>，所占比例运行使用阶段分别为</w:t>
      </w:r>
      <w:r>
        <w:rPr>
          <w:rFonts w:hint="eastAsia" w:ascii="宋体" w:hAnsi="宋体" w:eastAsia="宋体" w:cs="宋体"/>
          <w:b w:val="0"/>
          <w:bCs w:val="0"/>
          <w:sz w:val="28"/>
          <w:szCs w:val="28"/>
          <w:lang w:val="en-US" w:eastAsia="zh-CN"/>
        </w:rPr>
        <w:t xml:space="preserve">79 </w:t>
      </w:r>
      <w:r>
        <w:rPr>
          <w:rFonts w:hint="default" w:ascii="宋体" w:hAnsi="宋体" w:eastAsia="宋体" w:cs="宋体"/>
          <w:b w:val="0"/>
          <w:bCs w:val="0"/>
          <w:sz w:val="28"/>
          <w:szCs w:val="28"/>
          <w:lang w:val="en-US" w:eastAsia="zh-CN"/>
        </w:rPr>
        <w:t>%，建造施工阶段分别为</w:t>
      </w:r>
      <w:r>
        <w:rPr>
          <w:rFonts w:hint="eastAsia" w:ascii="宋体" w:hAnsi="宋体" w:eastAsia="宋体" w:cs="宋体"/>
          <w:b w:val="0"/>
          <w:bCs w:val="0"/>
          <w:sz w:val="28"/>
          <w:szCs w:val="28"/>
          <w:lang w:val="en-US" w:eastAsia="zh-CN"/>
        </w:rPr>
        <w:t>21</w:t>
      </w:r>
      <w:r>
        <w:rPr>
          <w:rFonts w:hint="default" w:ascii="宋体" w:hAnsi="宋体" w:eastAsia="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在施工阶段，建筑材料运输与施工本身的碳排放所占比例分别为</w:t>
      </w:r>
      <w:r>
        <w:rPr>
          <w:rFonts w:hint="eastAsia" w:ascii="宋体" w:hAnsi="宋体" w:eastAsia="宋体" w:cs="宋体"/>
          <w:b w:val="0"/>
          <w:bCs w:val="0"/>
          <w:sz w:val="28"/>
          <w:szCs w:val="28"/>
          <w:lang w:val="en-US" w:eastAsia="zh-CN"/>
        </w:rPr>
        <w:t xml:space="preserve">85.71 </w:t>
      </w:r>
      <w:r>
        <w:rPr>
          <w:rFonts w:hint="default" w:ascii="宋体"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 xml:space="preserve">14.29 </w:t>
      </w:r>
      <w:r>
        <w:rPr>
          <w:rFonts w:hint="default" w:ascii="宋体" w:hAnsi="宋体" w:eastAsia="宋体" w:cs="宋体"/>
          <w:b w:val="0"/>
          <w:bCs w:val="0"/>
          <w:sz w:val="28"/>
          <w:szCs w:val="28"/>
          <w:lang w:val="en-US" w:eastAsia="zh-CN"/>
        </w:rPr>
        <w:t>%，这说明施工建造本身的碳排放量较少，住宅设备运行阶段占整个运行阶段的</w:t>
      </w:r>
      <w:r>
        <w:rPr>
          <w:rFonts w:hint="eastAsia" w:ascii="宋体" w:hAnsi="宋体" w:eastAsia="宋体" w:cs="宋体"/>
          <w:b w:val="0"/>
          <w:bCs w:val="0"/>
          <w:sz w:val="28"/>
          <w:szCs w:val="28"/>
          <w:lang w:val="en-US" w:eastAsia="zh-CN"/>
        </w:rPr>
        <w:t xml:space="preserve">79 </w:t>
      </w:r>
      <w:r>
        <w:rPr>
          <w:rFonts w:hint="default" w:ascii="宋体" w:hAnsi="宋体" w:eastAsia="宋体" w:cs="宋体"/>
          <w:b w:val="0"/>
          <w:bCs w:val="0"/>
          <w:sz w:val="28"/>
          <w:szCs w:val="28"/>
          <w:lang w:val="en-US" w:eastAsia="zh-CN"/>
        </w:rPr>
        <w:t>%，维护更新阶段为</w:t>
      </w:r>
      <w:r>
        <w:rPr>
          <w:rFonts w:hint="eastAsia" w:ascii="宋体" w:hAnsi="宋体" w:eastAsia="宋体" w:cs="宋体"/>
          <w:b w:val="0"/>
          <w:bCs w:val="0"/>
          <w:sz w:val="28"/>
          <w:szCs w:val="28"/>
          <w:lang w:val="en-US" w:eastAsia="zh-CN"/>
        </w:rPr>
        <w:t xml:space="preserve">21 </w:t>
      </w:r>
      <w:r>
        <w:rPr>
          <w:rFonts w:hint="default" w:ascii="宋体" w:hAnsi="宋体" w:eastAsia="宋体" w:cs="宋体"/>
          <w:b w:val="0"/>
          <w:bCs w:val="0"/>
          <w:sz w:val="28"/>
          <w:szCs w:val="28"/>
          <w:lang w:val="en-US" w:eastAsia="zh-CN"/>
        </w:rPr>
        <w:t>%，可见设备运行阶段的碳排放大于维护更新阶段的。</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建筑水、电、天然气所占比例分别为4%、84%、12%，结果显示设备运行阶段电能是导致碳排放的最大因素。</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p>
    <w:p>
      <w:pPr>
        <w:jc w:val="both"/>
        <w:rPr>
          <w:rFonts w:hint="eastAsia" w:ascii="宋体" w:hAnsi="宋体" w:eastAsia="宋体" w:cs="宋体"/>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832CB"/>
    <w:rsid w:val="05DB29E6"/>
    <w:rsid w:val="1622798B"/>
    <w:rsid w:val="202F6F99"/>
    <w:rsid w:val="5C0832CB"/>
    <w:rsid w:val="5F640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2022-03-11T08:28:00Z</dcterms:created>
  <dc:creator>Vitamine✿</dc:creator>
  <cp:lastModifiedBy>Vitamine✿</cp:lastModifiedBy>
  <dcterms:modified xsi:type="dcterms:W3CDTF">2022-03-11T08:49:07Z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6199590A05164D838C2E5E3E407AA071</vt:lpwstr>
  </property>
</Properties>
</file>