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12" w:type="dxa"/>
          </w:tcPr>
          <w:p>
            <w:pPr>
              <w:ind w:firstLine="400" w:firstLineChars="2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加装管道进行雨水收集；</w:t>
            </w:r>
            <w:r>
              <w:rPr>
                <w:rFonts w:hint="eastAsia" w:ascii="宋体" w:hAnsi="宋体" w:cs="宋体"/>
                <w:lang w:val="en-US" w:eastAsia="zh-CN"/>
              </w:rPr>
              <w:t>地下埋设管道进行收集地表水；</w:t>
            </w:r>
            <w:r>
              <w:rPr>
                <w:rFonts w:hint="eastAsia"/>
                <w:lang w:val="en-US" w:eastAsia="zh-CN"/>
              </w:rPr>
              <w:t>地表水经过透水砖与土壤或其他过滤层的过滤后，下渗至地下，再利用管道进行收集；生活用水通过管道进行收集处理净化。楼顶布置光伏板进行太阳能发电，为社区路灯和楼梯电灯提供电能。</w:t>
            </w:r>
          </w:p>
          <w:p>
            <w:pPr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5C95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@霞</cp:lastModifiedBy>
  <dcterms:modified xsi:type="dcterms:W3CDTF">2022-03-06T13:15:26Z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0EDEEF7132024A5FBAD4AD355E529C65</vt:lpwstr>
  </property>
</Properties>
</file>