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28"/>
          <w:highlight w:val="none"/>
          <w14:textFill>
            <w14:solidFill>
              <w14:schemeClr w14:val="tx1"/>
            </w14:solidFill>
          </w14:textFill>
        </w:rPr>
      </w:pPr>
    </w:p>
    <w:p>
      <w:pPr>
        <w:pStyle w:val="2"/>
        <w:ind w:firstLine="560"/>
        <w:rPr>
          <w:color w:val="000000" w:themeColor="text1"/>
          <w:sz w:val="28"/>
          <w:highlight w:val="none"/>
          <w:lang w:val="en-GB"/>
          <w14:textFill>
            <w14:solidFill>
              <w14:schemeClr w14:val="tx1"/>
            </w14:solidFill>
          </w14:textFill>
        </w:rPr>
      </w:pPr>
    </w:p>
    <w:p>
      <w:pPr>
        <w:ind w:firstLine="420"/>
        <w:jc w:val="center"/>
        <w:rPr>
          <w:rFonts w:hint="eastAsia"/>
          <w:b/>
          <w:bCs/>
          <w:sz w:val="52"/>
          <w:szCs w:val="52"/>
          <w:highlight w:val="none"/>
        </w:rPr>
      </w:pPr>
    </w:p>
    <w:p>
      <w:pPr>
        <w:snapToGrid w:val="0"/>
        <w:spacing w:line="240" w:lineRule="auto"/>
        <w:jc w:val="both"/>
        <w:rPr>
          <w:rFonts w:hint="eastAsia" w:asciiTheme="minorEastAsia" w:hAnsiTheme="minorEastAsia" w:eastAsiaTheme="minorEastAsia" w:cstheme="minorEastAsia"/>
          <w:b/>
          <w:bCs/>
          <w:sz w:val="52"/>
          <w:szCs w:val="52"/>
          <w:highlight w:val="none"/>
        </w:rPr>
      </w:pPr>
    </w:p>
    <w:p>
      <w:pPr>
        <w:snapToGrid w:val="0"/>
        <w:spacing w:line="240" w:lineRule="auto"/>
        <w:jc w:val="center"/>
        <w:rPr>
          <w:rFonts w:hint="eastAsia" w:asciiTheme="minorEastAsia" w:hAnsiTheme="minorEastAsia" w:eastAsiaTheme="minorEastAsia" w:cstheme="minorEastAsia"/>
          <w:b/>
          <w:bCs/>
          <w:sz w:val="52"/>
          <w:szCs w:val="52"/>
          <w:highlight w:val="none"/>
        </w:rPr>
      </w:pP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Theme="minorEastAsia" w:hAnsiTheme="minorEastAsia" w:eastAsiaTheme="minorEastAsia" w:cstheme="minorEastAsia"/>
          <w:b/>
          <w:bCs/>
          <w:sz w:val="52"/>
          <w:szCs w:val="52"/>
          <w:highlight w:val="none"/>
          <w:lang w:val="en-US" w:eastAsia="zh-CN"/>
        </w:rPr>
      </w:pP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Theme="minorEastAsia" w:hAnsiTheme="minorEastAsia" w:eastAsiaTheme="minorEastAsia" w:cstheme="minorEastAsia"/>
          <w:b/>
          <w:bCs/>
          <w:sz w:val="52"/>
          <w:szCs w:val="52"/>
          <w:highlight w:val="none"/>
        </w:rPr>
      </w:pPr>
      <w:r>
        <w:rPr>
          <w:rFonts w:hint="eastAsia" w:asciiTheme="minorEastAsia" w:hAnsiTheme="minorEastAsia" w:eastAsiaTheme="minorEastAsia" w:cstheme="minorEastAsia"/>
          <w:b/>
          <w:bCs/>
          <w:sz w:val="52"/>
          <w:szCs w:val="52"/>
          <w:highlight w:val="none"/>
        </w:rPr>
        <w:t>室内背景噪声及构件隔声计算书</w:t>
      </w:r>
    </w:p>
    <w:p>
      <w:pPr>
        <w:spacing w:line="360" w:lineRule="auto"/>
        <w:rPr>
          <w:color w:val="000000" w:themeColor="text1"/>
          <w:sz w:val="28"/>
          <w:szCs w:val="28"/>
          <w:highlight w:val="none"/>
          <w14:textFill>
            <w14:solidFill>
              <w14:schemeClr w14:val="tx1"/>
            </w14:solidFill>
          </w14:textFill>
        </w:rPr>
      </w:pPr>
    </w:p>
    <w:p>
      <w:pPr>
        <w:pStyle w:val="2"/>
        <w:rPr>
          <w:color w:val="000000" w:themeColor="text1"/>
          <w:sz w:val="28"/>
          <w:szCs w:val="28"/>
          <w:highlight w:val="none"/>
          <w14:textFill>
            <w14:solidFill>
              <w14:schemeClr w14:val="tx1"/>
            </w14:solidFill>
          </w14:textFill>
        </w:rPr>
      </w:pPr>
    </w:p>
    <w:p>
      <w:pPr>
        <w:snapToGrid w:val="0"/>
        <w:spacing w:before="312" w:beforeLines="100" w:line="276" w:lineRule="auto"/>
        <w:jc w:val="both"/>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p>
    <w:p>
      <w:pPr>
        <w:snapToGrid w:val="0"/>
        <w:spacing w:before="312" w:beforeLines="100" w:line="276" w:lineRule="auto"/>
        <w:jc w:val="center"/>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p>
    <w:p>
      <w:pPr>
        <w:snapToGrid w:val="0"/>
        <w:spacing w:before="312" w:beforeLines="100" w:line="276" w:lineRule="auto"/>
        <w:jc w:val="center"/>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p>
    <w:p>
      <w:pPr>
        <w:snapToGrid w:val="0"/>
        <w:spacing w:before="312" w:beforeLines="100" w:line="276" w:lineRule="auto"/>
        <w:jc w:val="center"/>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p>
    <w:p>
      <w:pPr>
        <w:snapToGrid w:val="0"/>
        <w:spacing w:before="312" w:beforeLines="100" w:line="276" w:lineRule="auto"/>
        <w:jc w:val="both"/>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p>
    <w:p>
      <w:pPr>
        <w:snapToGrid w:val="0"/>
        <w:spacing w:before="312" w:beforeLines="100" w:line="276" w:lineRule="auto"/>
        <w:jc w:val="center"/>
        <w:rPr>
          <w:rFonts w:hint="eastAsia" w:ascii="Times New Roman" w:hAnsi="Times New Roman" w:eastAsia="宋体" w:cs="Times New Roman"/>
          <w:sz w:val="18"/>
          <w:lang w:val="en-US" w:eastAsia="zh-CN" w:bidi="ar-SA"/>
        </w:rPr>
      </w:pPr>
      <w:r>
        <w:rPr>
          <w:rFonts w:hint="eastAsia"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br w:type="page"/>
      </w:r>
    </w:p>
    <w:sdt>
      <w:sdtPr>
        <w:rPr>
          <w:rFonts w:ascii="宋体" w:hAnsi="宋体" w:eastAsia="宋体" w:cs="Times New Roman"/>
          <w:b/>
          <w:bCs/>
          <w:sz w:val="28"/>
          <w:szCs w:val="28"/>
          <w:lang w:val="en-GB" w:eastAsia="zh-CN" w:bidi="ar-SA"/>
        </w:rPr>
        <w:id w:val="147458843"/>
        <w15:color w:val="DBDBDB"/>
        <w:docPartObj>
          <w:docPartGallery w:val="Table of Contents"/>
          <w:docPartUnique/>
        </w:docPartObj>
      </w:sdtPr>
      <w:sdtEndPr>
        <w:rPr>
          <w:rFonts w:ascii="宋体" w:hAnsi="宋体" w:eastAsia="宋体" w:cs="Times New Roman"/>
          <w:b/>
          <w:bCs/>
          <w:sz w:val="28"/>
          <w:szCs w:val="28"/>
          <w:lang w:val="en-GB"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TOC \o "1-3" \h \u </w:instrText>
          </w:r>
          <w:r>
            <w:rPr>
              <w:sz w:val="28"/>
              <w:szCs w:val="28"/>
            </w:rPr>
            <w:fldChar w:fldCharType="separate"/>
          </w:r>
          <w:r>
            <w:rPr>
              <w:sz w:val="28"/>
              <w:szCs w:val="28"/>
            </w:rPr>
            <w:fldChar w:fldCharType="begin"/>
          </w:r>
          <w:r>
            <w:rPr>
              <w:sz w:val="28"/>
              <w:szCs w:val="28"/>
            </w:rPr>
            <w:instrText xml:space="preserve"> HYPERLINK \l _Toc31093 </w:instrText>
          </w:r>
          <w:r>
            <w:rPr>
              <w:sz w:val="28"/>
              <w:szCs w:val="28"/>
            </w:rPr>
            <w:fldChar w:fldCharType="separate"/>
          </w:r>
          <w:r>
            <w:rPr>
              <w:rFonts w:hint="eastAsia"/>
              <w:sz w:val="28"/>
              <w:szCs w:val="28"/>
            </w:rPr>
            <w:t xml:space="preserve">1. </w:t>
          </w:r>
          <w:r>
            <w:rPr>
              <w:rFonts w:hint="eastAsia"/>
              <w:sz w:val="28"/>
              <w:szCs w:val="28"/>
              <w:highlight w:val="none"/>
            </w:rPr>
            <w:t>项目概况</w:t>
          </w:r>
          <w:r>
            <w:rPr>
              <w:sz w:val="28"/>
              <w:szCs w:val="28"/>
            </w:rPr>
            <w:tab/>
          </w:r>
          <w:r>
            <w:rPr>
              <w:sz w:val="28"/>
              <w:szCs w:val="28"/>
            </w:rPr>
            <w:fldChar w:fldCharType="begin"/>
          </w:r>
          <w:r>
            <w:rPr>
              <w:sz w:val="28"/>
              <w:szCs w:val="28"/>
            </w:rPr>
            <w:instrText xml:space="preserve"> PAGEREF _Toc31093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 HYPERLINK \l _Toc4851 </w:instrText>
          </w:r>
          <w:r>
            <w:rPr>
              <w:sz w:val="28"/>
              <w:szCs w:val="28"/>
            </w:rPr>
            <w:fldChar w:fldCharType="separate"/>
          </w:r>
          <w:r>
            <w:rPr>
              <w:rFonts w:hint="eastAsia"/>
              <w:sz w:val="28"/>
              <w:szCs w:val="28"/>
            </w:rPr>
            <w:t xml:space="preserve">2. </w:t>
          </w:r>
          <w:r>
            <w:rPr>
              <w:rFonts w:hint="eastAsia"/>
              <w:sz w:val="28"/>
              <w:szCs w:val="28"/>
              <w:highlight w:val="none"/>
            </w:rPr>
            <w:t>标准要求及说明</w:t>
          </w:r>
          <w:r>
            <w:rPr>
              <w:sz w:val="28"/>
              <w:szCs w:val="28"/>
            </w:rPr>
            <w:tab/>
          </w:r>
          <w:r>
            <w:rPr>
              <w:sz w:val="28"/>
              <w:szCs w:val="28"/>
            </w:rPr>
            <w:fldChar w:fldCharType="begin"/>
          </w:r>
          <w:r>
            <w:rPr>
              <w:sz w:val="28"/>
              <w:szCs w:val="28"/>
            </w:rPr>
            <w:instrText xml:space="preserve"> PAGEREF _Toc4851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_Toc4216 </w:instrText>
          </w:r>
          <w:r>
            <w:rPr>
              <w:sz w:val="28"/>
              <w:szCs w:val="28"/>
            </w:rPr>
            <w:fldChar w:fldCharType="separate"/>
          </w:r>
          <w:r>
            <w:rPr>
              <w:rFonts w:ascii="宋体" w:hAnsi="宋体"/>
              <w:sz w:val="28"/>
              <w:szCs w:val="28"/>
              <w:highlight w:val="none"/>
            </w:rPr>
            <w:t xml:space="preserve">1. </w:t>
          </w:r>
          <w:r>
            <w:rPr>
              <w:rFonts w:hint="eastAsia" w:ascii="宋体" w:hAnsi="宋体"/>
              <w:sz w:val="28"/>
              <w:szCs w:val="28"/>
              <w:highlight w:val="none"/>
              <w:lang w:val="en-US"/>
            </w:rPr>
            <w:t>《绿色建筑评价标准》</w:t>
          </w:r>
          <w:r>
            <w:rPr>
              <w:rFonts w:ascii="宋体" w:hAnsi="宋体"/>
              <w:sz w:val="28"/>
              <w:szCs w:val="28"/>
              <w:highlight w:val="none"/>
              <w:lang w:val="en-US"/>
            </w:rPr>
            <w:t>GB/T 50378-2019</w:t>
          </w:r>
          <w:r>
            <w:rPr>
              <w:sz w:val="28"/>
              <w:szCs w:val="28"/>
            </w:rPr>
            <w:tab/>
          </w:r>
          <w:r>
            <w:rPr>
              <w:sz w:val="28"/>
              <w:szCs w:val="28"/>
            </w:rPr>
            <w:fldChar w:fldCharType="begin"/>
          </w:r>
          <w:r>
            <w:rPr>
              <w:sz w:val="28"/>
              <w:szCs w:val="28"/>
            </w:rPr>
            <w:instrText xml:space="preserve"> PAGEREF _Toc4216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_Toc792 </w:instrText>
          </w:r>
          <w:r>
            <w:rPr>
              <w:sz w:val="28"/>
              <w:szCs w:val="28"/>
            </w:rPr>
            <w:fldChar w:fldCharType="separate"/>
          </w:r>
          <w:r>
            <w:rPr>
              <w:rFonts w:ascii="宋体" w:hAnsi="宋体"/>
              <w:sz w:val="28"/>
              <w:szCs w:val="28"/>
              <w:highlight w:val="none"/>
            </w:rPr>
            <w:t xml:space="preserve">2. </w:t>
          </w:r>
          <w:r>
            <w:rPr>
              <w:rFonts w:hint="eastAsia" w:ascii="宋体" w:hAnsi="宋体"/>
              <w:sz w:val="28"/>
              <w:szCs w:val="28"/>
              <w:highlight w:val="none"/>
            </w:rPr>
            <w:t>《民用建筑隔声设计规范》</w:t>
          </w:r>
          <w:r>
            <w:rPr>
              <w:rFonts w:ascii="宋体" w:hAnsi="宋体"/>
              <w:sz w:val="28"/>
              <w:szCs w:val="28"/>
              <w:highlight w:val="none"/>
            </w:rPr>
            <w:t>(GB50118-2010)</w:t>
          </w:r>
          <w:r>
            <w:rPr>
              <w:sz w:val="28"/>
              <w:szCs w:val="28"/>
            </w:rPr>
            <w:tab/>
          </w:r>
          <w:r>
            <w:rPr>
              <w:sz w:val="28"/>
              <w:szCs w:val="28"/>
            </w:rPr>
            <w:fldChar w:fldCharType="begin"/>
          </w:r>
          <w:r>
            <w:rPr>
              <w:sz w:val="28"/>
              <w:szCs w:val="28"/>
            </w:rPr>
            <w:instrText xml:space="preserve"> PAGEREF _Toc792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_Toc19998 </w:instrText>
          </w:r>
          <w:r>
            <w:rPr>
              <w:sz w:val="28"/>
              <w:szCs w:val="28"/>
            </w:rPr>
            <w:fldChar w:fldCharType="separate"/>
          </w:r>
          <w:r>
            <w:rPr>
              <w:rFonts w:ascii="宋体" w:hAnsi="宋体"/>
              <w:sz w:val="28"/>
              <w:szCs w:val="28"/>
              <w:highlight w:val="none"/>
            </w:rPr>
            <w:t xml:space="preserve">3. </w:t>
          </w:r>
          <w:r>
            <w:rPr>
              <w:rFonts w:hint="eastAsia" w:ascii="宋体" w:hAnsi="宋体"/>
              <w:sz w:val="28"/>
              <w:szCs w:val="28"/>
              <w:highlight w:val="none"/>
            </w:rPr>
            <w:t>《建筑隔声评价标准》</w:t>
          </w:r>
          <w:r>
            <w:rPr>
              <w:rFonts w:ascii="宋体" w:hAnsi="宋体"/>
              <w:sz w:val="28"/>
              <w:szCs w:val="28"/>
              <w:highlight w:val="none"/>
            </w:rPr>
            <w:t>(GB/T 50121-2005)</w:t>
          </w:r>
          <w:r>
            <w:rPr>
              <w:sz w:val="28"/>
              <w:szCs w:val="28"/>
            </w:rPr>
            <w:tab/>
          </w:r>
          <w:r>
            <w:rPr>
              <w:sz w:val="28"/>
              <w:szCs w:val="28"/>
            </w:rPr>
            <w:fldChar w:fldCharType="begin"/>
          </w:r>
          <w:r>
            <w:rPr>
              <w:sz w:val="28"/>
              <w:szCs w:val="28"/>
            </w:rPr>
            <w:instrText xml:space="preserve"> PAGEREF _Toc19998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_Toc5902 </w:instrText>
          </w:r>
          <w:r>
            <w:rPr>
              <w:sz w:val="28"/>
              <w:szCs w:val="28"/>
            </w:rPr>
            <w:fldChar w:fldCharType="separate"/>
          </w:r>
          <w:r>
            <w:rPr>
              <w:rFonts w:ascii="宋体" w:hAnsi="宋体"/>
              <w:sz w:val="28"/>
              <w:szCs w:val="28"/>
              <w:highlight w:val="none"/>
            </w:rPr>
            <w:t xml:space="preserve">4. </w:t>
          </w:r>
          <w:r>
            <w:rPr>
              <w:rFonts w:hint="eastAsia" w:ascii="宋体" w:hAnsi="宋体"/>
              <w:sz w:val="28"/>
              <w:szCs w:val="28"/>
              <w:highlight w:val="none"/>
            </w:rPr>
            <w:t>《建筑声学设计手册》（中国建筑工业出版社出版）</w:t>
          </w:r>
          <w:r>
            <w:rPr>
              <w:sz w:val="28"/>
              <w:szCs w:val="28"/>
            </w:rPr>
            <w:tab/>
          </w:r>
          <w:r>
            <w:rPr>
              <w:sz w:val="28"/>
              <w:szCs w:val="28"/>
            </w:rPr>
            <w:fldChar w:fldCharType="begin"/>
          </w:r>
          <w:r>
            <w:rPr>
              <w:sz w:val="28"/>
              <w:szCs w:val="28"/>
            </w:rPr>
            <w:instrText xml:space="preserve"> PAGEREF _Toc5902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_Toc17962 </w:instrText>
          </w:r>
          <w:r>
            <w:rPr>
              <w:sz w:val="28"/>
              <w:szCs w:val="28"/>
            </w:rPr>
            <w:fldChar w:fldCharType="separate"/>
          </w:r>
          <w:r>
            <w:rPr>
              <w:rFonts w:ascii="宋体" w:hAnsi="宋体"/>
              <w:sz w:val="28"/>
              <w:szCs w:val="28"/>
              <w:highlight w:val="none"/>
            </w:rPr>
            <w:t xml:space="preserve">5.  </w:t>
          </w:r>
          <w:r>
            <w:rPr>
              <w:rFonts w:hint="eastAsia" w:ascii="宋体" w:hAnsi="宋体"/>
              <w:sz w:val="28"/>
              <w:szCs w:val="28"/>
              <w:highlight w:val="none"/>
            </w:rPr>
            <w:t>《建筑隔声设计</w:t>
          </w:r>
          <w:r>
            <w:rPr>
              <w:rFonts w:ascii="宋体" w:hAnsi="宋体"/>
              <w:sz w:val="28"/>
              <w:szCs w:val="28"/>
              <w:highlight w:val="none"/>
            </w:rPr>
            <w:t>—</w:t>
          </w:r>
          <w:r>
            <w:rPr>
              <w:rFonts w:hint="eastAsia" w:ascii="宋体" w:hAnsi="宋体"/>
              <w:sz w:val="28"/>
              <w:szCs w:val="28"/>
              <w:highlight w:val="none"/>
            </w:rPr>
            <w:t>空气声隔声技术》（中国建筑工业出版社出版）</w:t>
          </w:r>
          <w:r>
            <w:rPr>
              <w:sz w:val="28"/>
              <w:szCs w:val="28"/>
            </w:rPr>
            <w:tab/>
          </w:r>
          <w:r>
            <w:rPr>
              <w:sz w:val="28"/>
              <w:szCs w:val="28"/>
            </w:rPr>
            <w:fldChar w:fldCharType="begin"/>
          </w:r>
          <w:r>
            <w:rPr>
              <w:sz w:val="28"/>
              <w:szCs w:val="28"/>
            </w:rPr>
            <w:instrText xml:space="preserve"> PAGEREF _Toc17962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 HYPERLINK \l _Toc17217 </w:instrText>
          </w:r>
          <w:r>
            <w:rPr>
              <w:sz w:val="28"/>
              <w:szCs w:val="28"/>
            </w:rPr>
            <w:fldChar w:fldCharType="separate"/>
          </w:r>
          <w:r>
            <w:rPr>
              <w:rFonts w:hint="eastAsia"/>
              <w:sz w:val="28"/>
              <w:szCs w:val="28"/>
            </w:rPr>
            <w:t xml:space="preserve">3. </w:t>
          </w:r>
          <w:r>
            <w:rPr>
              <w:rFonts w:hint="eastAsia"/>
              <w:sz w:val="28"/>
              <w:szCs w:val="28"/>
              <w:highlight w:val="none"/>
            </w:rPr>
            <w:t>评价要求</w:t>
          </w:r>
          <w:r>
            <w:rPr>
              <w:sz w:val="28"/>
              <w:szCs w:val="28"/>
            </w:rPr>
            <w:tab/>
          </w:r>
          <w:r>
            <w:rPr>
              <w:sz w:val="28"/>
              <w:szCs w:val="28"/>
            </w:rPr>
            <w:fldChar w:fldCharType="begin"/>
          </w:r>
          <w:r>
            <w:rPr>
              <w:sz w:val="28"/>
              <w:szCs w:val="28"/>
            </w:rPr>
            <w:instrText xml:space="preserve"> PAGEREF _Toc17217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_Toc29738 </w:instrText>
          </w:r>
          <w:r>
            <w:rPr>
              <w:sz w:val="28"/>
              <w:szCs w:val="28"/>
            </w:rPr>
            <w:fldChar w:fldCharType="separate"/>
          </w:r>
          <w:r>
            <w:rPr>
              <w:rFonts w:hint="eastAsia"/>
              <w:sz w:val="28"/>
              <w:szCs w:val="28"/>
              <w:lang w:val="en-US"/>
            </w:rPr>
            <w:t xml:space="preserve">3.1 </w:t>
          </w:r>
          <w:r>
            <w:rPr>
              <w:rFonts w:hint="eastAsia"/>
              <w:sz w:val="28"/>
              <w:szCs w:val="28"/>
              <w:highlight w:val="none"/>
            </w:rPr>
            <w:t>隔声要求</w:t>
          </w:r>
          <w:r>
            <w:rPr>
              <w:sz w:val="28"/>
              <w:szCs w:val="28"/>
            </w:rPr>
            <w:tab/>
          </w:r>
          <w:r>
            <w:rPr>
              <w:sz w:val="28"/>
              <w:szCs w:val="28"/>
            </w:rPr>
            <w:fldChar w:fldCharType="begin"/>
          </w:r>
          <w:r>
            <w:rPr>
              <w:sz w:val="28"/>
              <w:szCs w:val="28"/>
            </w:rPr>
            <w:instrText xml:space="preserve"> PAGEREF _Toc29738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_Toc21138 </w:instrText>
          </w:r>
          <w:r>
            <w:rPr>
              <w:sz w:val="28"/>
              <w:szCs w:val="28"/>
            </w:rPr>
            <w:fldChar w:fldCharType="separate"/>
          </w:r>
          <w:r>
            <w:rPr>
              <w:rFonts w:hint="eastAsia"/>
              <w:sz w:val="28"/>
              <w:szCs w:val="28"/>
              <w:lang w:val="en-US"/>
            </w:rPr>
            <w:t xml:space="preserve">3.2 </w:t>
          </w:r>
          <w:r>
            <w:rPr>
              <w:rFonts w:hint="eastAsia"/>
              <w:sz w:val="28"/>
              <w:szCs w:val="28"/>
              <w:highlight w:val="none"/>
            </w:rPr>
            <w:t>室内背景噪声要求</w:t>
          </w:r>
          <w:r>
            <w:rPr>
              <w:sz w:val="28"/>
              <w:szCs w:val="28"/>
            </w:rPr>
            <w:tab/>
          </w:r>
          <w:r>
            <w:rPr>
              <w:sz w:val="28"/>
              <w:szCs w:val="28"/>
            </w:rPr>
            <w:fldChar w:fldCharType="begin"/>
          </w:r>
          <w:r>
            <w:rPr>
              <w:sz w:val="28"/>
              <w:szCs w:val="28"/>
            </w:rPr>
            <w:instrText xml:space="preserve"> PAGEREF _Toc21138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 HYPERLINK \l _Toc26336 </w:instrText>
          </w:r>
          <w:r>
            <w:rPr>
              <w:sz w:val="28"/>
              <w:szCs w:val="28"/>
            </w:rPr>
            <w:fldChar w:fldCharType="separate"/>
          </w:r>
          <w:r>
            <w:rPr>
              <w:rFonts w:hint="eastAsia"/>
              <w:sz w:val="28"/>
              <w:szCs w:val="28"/>
            </w:rPr>
            <w:t xml:space="preserve">4. </w:t>
          </w:r>
          <w:r>
            <w:rPr>
              <w:rFonts w:hint="eastAsia"/>
              <w:sz w:val="28"/>
              <w:szCs w:val="28"/>
              <w:highlight w:val="none"/>
            </w:rPr>
            <w:t>建筑围护结构构件隔声计算</w:t>
          </w:r>
          <w:r>
            <w:rPr>
              <w:sz w:val="28"/>
              <w:szCs w:val="28"/>
            </w:rPr>
            <w:tab/>
          </w:r>
          <w:r>
            <w:rPr>
              <w:sz w:val="28"/>
              <w:szCs w:val="28"/>
            </w:rPr>
            <w:fldChar w:fldCharType="begin"/>
          </w:r>
          <w:r>
            <w:rPr>
              <w:sz w:val="28"/>
              <w:szCs w:val="28"/>
            </w:rPr>
            <w:instrText xml:space="preserve"> PAGEREF _Toc26336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_Toc21144 </w:instrText>
          </w:r>
          <w:r>
            <w:rPr>
              <w:sz w:val="28"/>
              <w:szCs w:val="28"/>
            </w:rPr>
            <w:fldChar w:fldCharType="separate"/>
          </w:r>
          <w:r>
            <w:rPr>
              <w:rFonts w:hint="eastAsia"/>
              <w:sz w:val="28"/>
              <w:szCs w:val="28"/>
              <w:lang w:val="en-US"/>
            </w:rPr>
            <w:t xml:space="preserve">4.1 </w:t>
          </w:r>
          <w:r>
            <w:rPr>
              <w:rFonts w:hint="eastAsia"/>
              <w:sz w:val="28"/>
              <w:szCs w:val="28"/>
              <w:highlight w:val="none"/>
            </w:rPr>
            <w:t>理论依据</w:t>
          </w:r>
          <w:r>
            <w:rPr>
              <w:sz w:val="28"/>
              <w:szCs w:val="28"/>
            </w:rPr>
            <w:tab/>
          </w:r>
          <w:r>
            <w:rPr>
              <w:sz w:val="28"/>
              <w:szCs w:val="28"/>
            </w:rPr>
            <w:fldChar w:fldCharType="begin"/>
          </w:r>
          <w:r>
            <w:rPr>
              <w:sz w:val="28"/>
              <w:szCs w:val="28"/>
            </w:rPr>
            <w:instrText xml:space="preserve"> PAGEREF _Toc21144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_Toc12277 </w:instrText>
          </w:r>
          <w:r>
            <w:rPr>
              <w:sz w:val="28"/>
              <w:szCs w:val="28"/>
            </w:rPr>
            <w:fldChar w:fldCharType="separate"/>
          </w:r>
          <w:r>
            <w:rPr>
              <w:rFonts w:hint="eastAsia" w:eastAsia="宋体"/>
              <w:sz w:val="28"/>
              <w:szCs w:val="28"/>
              <w:lang w:val="en-GB"/>
            </w:rPr>
            <w:t xml:space="preserve">4.1.1 </w:t>
          </w:r>
          <w:r>
            <w:rPr>
              <w:sz w:val="28"/>
              <w:szCs w:val="28"/>
              <w:highlight w:val="none"/>
            </w:rPr>
            <w:t>理论依据</w:t>
          </w:r>
          <w:r>
            <w:rPr>
              <w:sz w:val="28"/>
              <w:szCs w:val="28"/>
            </w:rPr>
            <w:tab/>
          </w:r>
          <w:r>
            <w:rPr>
              <w:sz w:val="28"/>
              <w:szCs w:val="28"/>
            </w:rPr>
            <w:fldChar w:fldCharType="begin"/>
          </w:r>
          <w:r>
            <w:rPr>
              <w:sz w:val="28"/>
              <w:szCs w:val="28"/>
            </w:rPr>
            <w:instrText xml:space="preserve"> PAGEREF _Toc12277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_Toc9983 </w:instrText>
          </w:r>
          <w:r>
            <w:rPr>
              <w:sz w:val="28"/>
              <w:szCs w:val="28"/>
            </w:rPr>
            <w:fldChar w:fldCharType="separate"/>
          </w:r>
          <w:r>
            <w:rPr>
              <w:rFonts w:hint="eastAsia" w:eastAsia="宋体"/>
              <w:sz w:val="28"/>
              <w:szCs w:val="28"/>
              <w:lang w:val="en-GB"/>
            </w:rPr>
            <w:t xml:space="preserve">4.1.2 </w:t>
          </w:r>
          <w:r>
            <w:rPr>
              <w:rFonts w:hint="eastAsia"/>
              <w:sz w:val="28"/>
              <w:szCs w:val="28"/>
              <w:highlight w:val="none"/>
            </w:rPr>
            <w:t>单层匀质密实墙的空气声隔绝</w:t>
          </w:r>
          <w:r>
            <w:rPr>
              <w:sz w:val="28"/>
              <w:szCs w:val="28"/>
            </w:rPr>
            <w:tab/>
          </w:r>
          <w:r>
            <w:rPr>
              <w:sz w:val="28"/>
              <w:szCs w:val="28"/>
            </w:rPr>
            <w:fldChar w:fldCharType="begin"/>
          </w:r>
          <w:r>
            <w:rPr>
              <w:sz w:val="28"/>
              <w:szCs w:val="28"/>
            </w:rPr>
            <w:instrText xml:space="preserve"> PAGEREF _Toc9983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_Toc617 </w:instrText>
          </w:r>
          <w:r>
            <w:rPr>
              <w:sz w:val="28"/>
              <w:szCs w:val="28"/>
            </w:rPr>
            <w:fldChar w:fldCharType="separate"/>
          </w:r>
          <w:r>
            <w:rPr>
              <w:rFonts w:hint="eastAsia" w:eastAsia="宋体"/>
              <w:sz w:val="28"/>
              <w:szCs w:val="28"/>
              <w:lang w:val="en-GB"/>
            </w:rPr>
            <w:t xml:space="preserve">4.1.3 </w:t>
          </w:r>
          <w:r>
            <w:rPr>
              <w:rFonts w:hint="eastAsia"/>
              <w:sz w:val="28"/>
              <w:szCs w:val="28"/>
              <w:highlight w:val="none"/>
            </w:rPr>
            <w:t>多层复合板的设计要点</w:t>
          </w:r>
          <w:r>
            <w:rPr>
              <w:sz w:val="28"/>
              <w:szCs w:val="28"/>
            </w:rPr>
            <w:tab/>
          </w:r>
          <w:r>
            <w:rPr>
              <w:sz w:val="28"/>
              <w:szCs w:val="28"/>
            </w:rPr>
            <w:fldChar w:fldCharType="begin"/>
          </w:r>
          <w:r>
            <w:rPr>
              <w:sz w:val="28"/>
              <w:szCs w:val="28"/>
            </w:rPr>
            <w:instrText xml:space="preserve"> PAGEREF _Toc617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_Toc9413 </w:instrText>
          </w:r>
          <w:r>
            <w:rPr>
              <w:sz w:val="28"/>
              <w:szCs w:val="28"/>
            </w:rPr>
            <w:fldChar w:fldCharType="separate"/>
          </w:r>
          <w:r>
            <w:rPr>
              <w:rFonts w:hint="eastAsia" w:eastAsia="宋体"/>
              <w:sz w:val="28"/>
              <w:szCs w:val="28"/>
              <w:lang w:val="en-GB"/>
            </w:rPr>
            <w:t xml:space="preserve">4.1.4 </w:t>
          </w:r>
          <w:r>
            <w:rPr>
              <w:rFonts w:hint="eastAsia"/>
              <w:sz w:val="28"/>
              <w:szCs w:val="28"/>
              <w:highlight w:val="none"/>
            </w:rPr>
            <w:t>质量定律</w:t>
          </w:r>
          <w:r>
            <w:rPr>
              <w:sz w:val="28"/>
              <w:szCs w:val="28"/>
            </w:rPr>
            <w:tab/>
          </w:r>
          <w:r>
            <w:rPr>
              <w:sz w:val="28"/>
              <w:szCs w:val="28"/>
            </w:rPr>
            <w:fldChar w:fldCharType="begin"/>
          </w:r>
          <w:r>
            <w:rPr>
              <w:sz w:val="28"/>
              <w:szCs w:val="28"/>
            </w:rPr>
            <w:instrText xml:space="preserve"> PAGEREF _Toc9413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_Toc32088 </w:instrText>
          </w:r>
          <w:r>
            <w:rPr>
              <w:sz w:val="28"/>
              <w:szCs w:val="28"/>
            </w:rPr>
            <w:fldChar w:fldCharType="separate"/>
          </w:r>
          <w:r>
            <w:rPr>
              <w:rFonts w:hint="eastAsia"/>
              <w:sz w:val="28"/>
              <w:szCs w:val="28"/>
              <w:lang w:val="en-US"/>
            </w:rPr>
            <w:t xml:space="preserve">4.2 </w:t>
          </w:r>
          <w:r>
            <w:rPr>
              <w:rFonts w:hint="eastAsia"/>
              <w:sz w:val="28"/>
              <w:szCs w:val="28"/>
              <w:highlight w:val="none"/>
            </w:rPr>
            <w:t>建筑构件隔声性能分析</w:t>
          </w:r>
          <w:r>
            <w:rPr>
              <w:sz w:val="28"/>
              <w:szCs w:val="28"/>
            </w:rPr>
            <w:tab/>
          </w:r>
          <w:r>
            <w:rPr>
              <w:sz w:val="28"/>
              <w:szCs w:val="28"/>
            </w:rPr>
            <w:fldChar w:fldCharType="begin"/>
          </w:r>
          <w:r>
            <w:rPr>
              <w:sz w:val="28"/>
              <w:szCs w:val="28"/>
            </w:rPr>
            <w:instrText xml:space="preserve"> PAGEREF _Toc32088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_Toc23643 </w:instrText>
          </w:r>
          <w:r>
            <w:rPr>
              <w:sz w:val="28"/>
              <w:szCs w:val="28"/>
            </w:rPr>
            <w:fldChar w:fldCharType="separate"/>
          </w:r>
          <w:r>
            <w:rPr>
              <w:rFonts w:hint="eastAsia" w:eastAsia="宋体"/>
              <w:sz w:val="28"/>
              <w:szCs w:val="28"/>
              <w:lang w:val="en-GB"/>
            </w:rPr>
            <w:t xml:space="preserve">4.2.1 </w:t>
          </w:r>
          <w:r>
            <w:rPr>
              <w:sz w:val="28"/>
              <w:szCs w:val="28"/>
            </w:rPr>
            <w:tab/>
          </w:r>
          <w:r>
            <w:rPr>
              <w:sz w:val="28"/>
              <w:szCs w:val="28"/>
            </w:rPr>
            <w:fldChar w:fldCharType="begin"/>
          </w:r>
          <w:r>
            <w:rPr>
              <w:sz w:val="28"/>
              <w:szCs w:val="28"/>
            </w:rPr>
            <w:instrText xml:space="preserve"> PAGEREF _Toc23643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_Toc19979 </w:instrText>
          </w:r>
          <w:r>
            <w:rPr>
              <w:sz w:val="28"/>
              <w:szCs w:val="28"/>
            </w:rPr>
            <w:fldChar w:fldCharType="separate"/>
          </w:r>
          <w:r>
            <w:rPr>
              <w:rFonts w:hint="eastAsia" w:eastAsia="宋体"/>
              <w:sz w:val="28"/>
              <w:szCs w:val="28"/>
              <w:lang w:val="en-GB"/>
            </w:rPr>
            <w:t xml:space="preserve">4.2.2 </w:t>
          </w:r>
          <w:r>
            <w:rPr>
              <w:rFonts w:hint="eastAsia"/>
              <w:sz w:val="28"/>
              <w:szCs w:val="28"/>
              <w:highlight w:val="none"/>
            </w:rPr>
            <w:t>外墙空气声计权隔声量+噪声频谱修正量：</w:t>
          </w:r>
          <w:r>
            <w:rPr>
              <w:sz w:val="28"/>
              <w:szCs w:val="28"/>
            </w:rPr>
            <w:tab/>
          </w:r>
          <w:r>
            <w:rPr>
              <w:sz w:val="28"/>
              <w:szCs w:val="28"/>
            </w:rPr>
            <w:fldChar w:fldCharType="begin"/>
          </w:r>
          <w:r>
            <w:rPr>
              <w:sz w:val="28"/>
              <w:szCs w:val="28"/>
            </w:rPr>
            <w:instrText xml:space="preserve"> PAGEREF _Toc19979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_Toc12803 </w:instrText>
          </w:r>
          <w:r>
            <w:rPr>
              <w:sz w:val="28"/>
              <w:szCs w:val="28"/>
            </w:rPr>
            <w:fldChar w:fldCharType="separate"/>
          </w:r>
          <w:r>
            <w:rPr>
              <w:rFonts w:hint="eastAsia" w:eastAsia="宋体"/>
              <w:sz w:val="28"/>
              <w:szCs w:val="28"/>
              <w:lang w:val="en-GB"/>
            </w:rPr>
            <w:t xml:space="preserve">4.2.3 </w:t>
          </w:r>
          <w:r>
            <w:rPr>
              <w:rFonts w:hint="eastAsia"/>
              <w:sz w:val="28"/>
              <w:szCs w:val="28"/>
              <w:highlight w:val="none"/>
            </w:rPr>
            <w:t>分户墙空气声计权隔声量+噪声频谱修正量：</w:t>
          </w:r>
          <w:r>
            <w:rPr>
              <w:sz w:val="28"/>
              <w:szCs w:val="28"/>
            </w:rPr>
            <w:tab/>
          </w:r>
          <w:r>
            <w:rPr>
              <w:sz w:val="28"/>
              <w:szCs w:val="28"/>
            </w:rPr>
            <w:fldChar w:fldCharType="begin"/>
          </w:r>
          <w:r>
            <w:rPr>
              <w:sz w:val="28"/>
              <w:szCs w:val="28"/>
            </w:rPr>
            <w:instrText xml:space="preserve"> PAGEREF _Toc12803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_Toc27504 </w:instrText>
          </w:r>
          <w:r>
            <w:rPr>
              <w:sz w:val="28"/>
              <w:szCs w:val="28"/>
            </w:rPr>
            <w:fldChar w:fldCharType="separate"/>
          </w:r>
          <w:r>
            <w:rPr>
              <w:rFonts w:hint="eastAsia" w:eastAsia="宋体"/>
              <w:sz w:val="28"/>
              <w:szCs w:val="28"/>
              <w:lang w:val="en-GB"/>
            </w:rPr>
            <w:t xml:space="preserve">4.2.4 </w:t>
          </w:r>
          <w:r>
            <w:rPr>
              <w:rFonts w:hint="eastAsia"/>
              <w:sz w:val="28"/>
              <w:szCs w:val="28"/>
              <w:highlight w:val="none"/>
            </w:rPr>
            <w:t>门的构造及空气计权隔声量</w:t>
          </w:r>
          <w:r>
            <w:rPr>
              <w:sz w:val="28"/>
              <w:szCs w:val="28"/>
            </w:rPr>
            <w:tab/>
          </w:r>
          <w:r>
            <w:rPr>
              <w:sz w:val="28"/>
              <w:szCs w:val="28"/>
            </w:rPr>
            <w:fldChar w:fldCharType="begin"/>
          </w:r>
          <w:r>
            <w:rPr>
              <w:sz w:val="28"/>
              <w:szCs w:val="28"/>
            </w:rPr>
            <w:instrText xml:space="preserve"> PAGEREF _Toc27504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_Toc7645 </w:instrText>
          </w:r>
          <w:r>
            <w:rPr>
              <w:sz w:val="28"/>
              <w:szCs w:val="28"/>
            </w:rPr>
            <w:fldChar w:fldCharType="separate"/>
          </w:r>
          <w:r>
            <w:rPr>
              <w:rFonts w:hint="eastAsia" w:eastAsia="宋体"/>
              <w:sz w:val="28"/>
              <w:szCs w:val="28"/>
              <w:lang w:val="en-GB"/>
            </w:rPr>
            <w:t xml:space="preserve">4.2.5 </w:t>
          </w:r>
          <w:r>
            <w:rPr>
              <w:rFonts w:hint="eastAsia"/>
              <w:sz w:val="28"/>
              <w:szCs w:val="28"/>
              <w:highlight w:val="none"/>
            </w:rPr>
            <w:t>外窗空气声计权隔声量</w:t>
          </w:r>
          <w:r>
            <w:rPr>
              <w:sz w:val="28"/>
              <w:szCs w:val="28"/>
            </w:rPr>
            <w:tab/>
          </w:r>
          <w:r>
            <w:rPr>
              <w:sz w:val="28"/>
              <w:szCs w:val="28"/>
            </w:rPr>
            <w:fldChar w:fldCharType="begin"/>
          </w:r>
          <w:r>
            <w:rPr>
              <w:sz w:val="28"/>
              <w:szCs w:val="28"/>
            </w:rPr>
            <w:instrText xml:space="preserve"> PAGEREF _Toc7645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_Toc32363 </w:instrText>
          </w:r>
          <w:r>
            <w:rPr>
              <w:sz w:val="28"/>
              <w:szCs w:val="28"/>
            </w:rPr>
            <w:fldChar w:fldCharType="separate"/>
          </w:r>
          <w:r>
            <w:rPr>
              <w:rFonts w:hint="eastAsia" w:eastAsia="宋体"/>
              <w:sz w:val="28"/>
              <w:szCs w:val="28"/>
              <w:lang w:val="en-GB"/>
            </w:rPr>
            <w:t xml:space="preserve">4.2.6 </w:t>
          </w:r>
          <w:r>
            <w:rPr>
              <w:rFonts w:hint="eastAsia"/>
              <w:sz w:val="28"/>
              <w:szCs w:val="28"/>
              <w:highlight w:val="none"/>
            </w:rPr>
            <w:t>楼板空气声计权隔声量</w:t>
          </w:r>
          <w:r>
            <w:rPr>
              <w:sz w:val="28"/>
              <w:szCs w:val="28"/>
            </w:rPr>
            <w:tab/>
          </w:r>
          <w:r>
            <w:rPr>
              <w:sz w:val="28"/>
              <w:szCs w:val="28"/>
            </w:rPr>
            <w:fldChar w:fldCharType="begin"/>
          </w:r>
          <w:r>
            <w:rPr>
              <w:sz w:val="28"/>
              <w:szCs w:val="28"/>
            </w:rPr>
            <w:instrText xml:space="preserve"> PAGEREF _Toc32363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_Toc31094 </w:instrText>
          </w:r>
          <w:r>
            <w:rPr>
              <w:sz w:val="28"/>
              <w:szCs w:val="28"/>
            </w:rPr>
            <w:fldChar w:fldCharType="separate"/>
          </w:r>
          <w:r>
            <w:rPr>
              <w:rFonts w:hint="eastAsia" w:eastAsia="宋体"/>
              <w:sz w:val="28"/>
              <w:szCs w:val="28"/>
              <w:lang w:val="en-GB"/>
            </w:rPr>
            <w:t xml:space="preserve">4.2.7 </w:t>
          </w:r>
          <w:r>
            <w:rPr>
              <w:rFonts w:hint="eastAsia"/>
              <w:sz w:val="28"/>
              <w:szCs w:val="28"/>
              <w:highlight w:val="none"/>
            </w:rPr>
            <w:t>楼板撞击声隔声量</w:t>
          </w:r>
          <w:r>
            <w:rPr>
              <w:sz w:val="28"/>
              <w:szCs w:val="28"/>
            </w:rPr>
            <w:tab/>
          </w:r>
          <w:r>
            <w:rPr>
              <w:sz w:val="28"/>
              <w:szCs w:val="28"/>
            </w:rPr>
            <w:fldChar w:fldCharType="begin"/>
          </w:r>
          <w:r>
            <w:rPr>
              <w:sz w:val="28"/>
              <w:szCs w:val="28"/>
            </w:rPr>
            <w:instrText xml:space="preserve"> PAGEREF _Toc31094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_Toc26017 </w:instrText>
          </w:r>
          <w:r>
            <w:rPr>
              <w:sz w:val="28"/>
              <w:szCs w:val="28"/>
            </w:rPr>
            <w:fldChar w:fldCharType="separate"/>
          </w:r>
          <w:r>
            <w:rPr>
              <w:rFonts w:hint="eastAsia" w:eastAsia="宋体"/>
              <w:sz w:val="28"/>
              <w:szCs w:val="28"/>
              <w:lang w:val="en-GB"/>
            </w:rPr>
            <w:t xml:space="preserve">4.2.8 </w:t>
          </w:r>
          <w:r>
            <w:rPr>
              <w:rFonts w:hint="eastAsia"/>
              <w:sz w:val="28"/>
              <w:szCs w:val="28"/>
              <w:highlight w:val="none"/>
            </w:rPr>
            <w:t>建筑构件隔声性能分析结论</w:t>
          </w:r>
          <w:r>
            <w:rPr>
              <w:sz w:val="28"/>
              <w:szCs w:val="28"/>
            </w:rPr>
            <w:tab/>
          </w:r>
          <w:r>
            <w:rPr>
              <w:sz w:val="28"/>
              <w:szCs w:val="28"/>
            </w:rPr>
            <w:fldChar w:fldCharType="begin"/>
          </w:r>
          <w:r>
            <w:rPr>
              <w:sz w:val="28"/>
              <w:szCs w:val="28"/>
            </w:rPr>
            <w:instrText xml:space="preserve"> PAGEREF _Toc26017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 HYPERLINK \l _Toc12009 </w:instrText>
          </w:r>
          <w:r>
            <w:rPr>
              <w:sz w:val="28"/>
              <w:szCs w:val="28"/>
            </w:rPr>
            <w:fldChar w:fldCharType="separate"/>
          </w:r>
          <w:r>
            <w:rPr>
              <w:rFonts w:hint="eastAsia"/>
              <w:sz w:val="28"/>
              <w:szCs w:val="28"/>
            </w:rPr>
            <w:t xml:space="preserve">5. </w:t>
          </w:r>
          <w:r>
            <w:rPr>
              <w:rFonts w:hint="eastAsia"/>
              <w:sz w:val="28"/>
              <w:szCs w:val="28"/>
              <w:highlight w:val="none"/>
            </w:rPr>
            <w:t>房间背景噪声计算</w:t>
          </w:r>
          <w:r>
            <w:rPr>
              <w:sz w:val="28"/>
              <w:szCs w:val="28"/>
            </w:rPr>
            <w:tab/>
          </w:r>
          <w:r>
            <w:rPr>
              <w:sz w:val="28"/>
              <w:szCs w:val="28"/>
            </w:rPr>
            <w:fldChar w:fldCharType="begin"/>
          </w:r>
          <w:r>
            <w:rPr>
              <w:sz w:val="28"/>
              <w:szCs w:val="28"/>
            </w:rPr>
            <w:instrText xml:space="preserve"> PAGEREF _Toc12009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_Toc30892 </w:instrText>
          </w:r>
          <w:r>
            <w:rPr>
              <w:sz w:val="28"/>
              <w:szCs w:val="28"/>
            </w:rPr>
            <w:fldChar w:fldCharType="separate"/>
          </w:r>
          <w:r>
            <w:rPr>
              <w:rFonts w:hint="eastAsia"/>
              <w:sz w:val="28"/>
              <w:szCs w:val="28"/>
              <w:lang w:val="en-US"/>
            </w:rPr>
            <w:t xml:space="preserve">5.1 </w:t>
          </w:r>
          <w:r>
            <w:rPr>
              <w:rFonts w:hint="eastAsia"/>
              <w:sz w:val="28"/>
              <w:szCs w:val="28"/>
              <w:highlight w:val="none"/>
            </w:rPr>
            <w:t>声环境质量概况</w:t>
          </w:r>
          <w:r>
            <w:rPr>
              <w:sz w:val="28"/>
              <w:szCs w:val="28"/>
            </w:rPr>
            <w:tab/>
          </w:r>
          <w:r>
            <w:rPr>
              <w:sz w:val="28"/>
              <w:szCs w:val="28"/>
            </w:rPr>
            <w:fldChar w:fldCharType="begin"/>
          </w:r>
          <w:r>
            <w:rPr>
              <w:sz w:val="28"/>
              <w:szCs w:val="28"/>
            </w:rPr>
            <w:instrText xml:space="preserve"> PAGEREF _Toc30892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_Toc32192 </w:instrText>
          </w:r>
          <w:r>
            <w:rPr>
              <w:sz w:val="28"/>
              <w:szCs w:val="28"/>
            </w:rPr>
            <w:fldChar w:fldCharType="separate"/>
          </w:r>
          <w:r>
            <w:rPr>
              <w:rFonts w:hint="eastAsia"/>
              <w:sz w:val="28"/>
              <w:szCs w:val="28"/>
              <w:lang w:val="en-US"/>
            </w:rPr>
            <w:t xml:space="preserve">5.2 </w:t>
          </w:r>
          <w:r>
            <w:rPr>
              <w:rFonts w:hint="eastAsia"/>
              <w:sz w:val="28"/>
              <w:szCs w:val="28"/>
              <w:highlight w:val="none"/>
            </w:rPr>
            <w:t>项目边界条件</w:t>
          </w:r>
          <w:r>
            <w:rPr>
              <w:sz w:val="28"/>
              <w:szCs w:val="28"/>
            </w:rPr>
            <w:tab/>
          </w:r>
          <w:r>
            <w:rPr>
              <w:sz w:val="28"/>
              <w:szCs w:val="28"/>
            </w:rPr>
            <w:fldChar w:fldCharType="begin"/>
          </w:r>
          <w:r>
            <w:rPr>
              <w:sz w:val="28"/>
              <w:szCs w:val="28"/>
            </w:rPr>
            <w:instrText xml:space="preserve"> PAGEREF _Toc32192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_Toc3546 </w:instrText>
          </w:r>
          <w:r>
            <w:rPr>
              <w:sz w:val="28"/>
              <w:szCs w:val="28"/>
            </w:rPr>
            <w:fldChar w:fldCharType="separate"/>
          </w:r>
          <w:r>
            <w:rPr>
              <w:rFonts w:hint="eastAsia"/>
              <w:sz w:val="28"/>
              <w:szCs w:val="28"/>
              <w:lang w:val="en-US"/>
            </w:rPr>
            <w:t xml:space="preserve">5.3 </w:t>
          </w:r>
          <w:r>
            <w:rPr>
              <w:rFonts w:hint="eastAsia"/>
              <w:sz w:val="28"/>
              <w:szCs w:val="28"/>
              <w:highlight w:val="none"/>
            </w:rPr>
            <w:t>最不利起房间（活动室）室内背景噪声计算</w:t>
          </w:r>
          <w:r>
            <w:rPr>
              <w:sz w:val="28"/>
              <w:szCs w:val="28"/>
            </w:rPr>
            <w:tab/>
          </w:r>
          <w:r>
            <w:rPr>
              <w:sz w:val="28"/>
              <w:szCs w:val="28"/>
            </w:rPr>
            <w:fldChar w:fldCharType="begin"/>
          </w:r>
          <w:r>
            <w:rPr>
              <w:sz w:val="28"/>
              <w:szCs w:val="28"/>
            </w:rPr>
            <w:instrText xml:space="preserve"> PAGEREF _Toc3546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_Toc27713 </w:instrText>
          </w:r>
          <w:r>
            <w:rPr>
              <w:sz w:val="28"/>
              <w:szCs w:val="28"/>
            </w:rPr>
            <w:fldChar w:fldCharType="separate"/>
          </w:r>
          <w:r>
            <w:rPr>
              <w:rFonts w:hint="eastAsia" w:eastAsia="宋体"/>
              <w:sz w:val="28"/>
              <w:szCs w:val="28"/>
              <w:lang w:val="en-GB"/>
            </w:rPr>
            <w:t xml:space="preserve">5.3.1 </w:t>
          </w:r>
          <w:r>
            <w:rPr>
              <w:rFonts w:hint="eastAsia"/>
              <w:sz w:val="28"/>
              <w:szCs w:val="28"/>
              <w:highlight w:val="none"/>
            </w:rPr>
            <w:t>组合墙体有效隔声量计算</w:t>
          </w:r>
          <w:r>
            <w:rPr>
              <w:sz w:val="28"/>
              <w:szCs w:val="28"/>
            </w:rPr>
            <w:tab/>
          </w:r>
          <w:r>
            <w:rPr>
              <w:sz w:val="28"/>
              <w:szCs w:val="28"/>
            </w:rPr>
            <w:fldChar w:fldCharType="begin"/>
          </w:r>
          <w:r>
            <w:rPr>
              <w:sz w:val="28"/>
              <w:szCs w:val="28"/>
            </w:rPr>
            <w:instrText xml:space="preserve"> PAGEREF _Toc27713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_Toc7899 </w:instrText>
          </w:r>
          <w:r>
            <w:rPr>
              <w:sz w:val="28"/>
              <w:szCs w:val="28"/>
            </w:rPr>
            <w:fldChar w:fldCharType="separate"/>
          </w:r>
          <w:r>
            <w:rPr>
              <w:rFonts w:hint="eastAsia" w:eastAsia="宋体"/>
              <w:sz w:val="28"/>
              <w:szCs w:val="28"/>
              <w:lang w:val="en-GB"/>
            </w:rPr>
            <w:t xml:space="preserve">5.3.2 </w:t>
          </w:r>
          <w:r>
            <w:rPr>
              <w:rFonts w:hint="eastAsia"/>
              <w:sz w:val="28"/>
              <w:szCs w:val="28"/>
              <w:highlight w:val="none"/>
            </w:rPr>
            <w:t>房间隔声计算</w:t>
          </w:r>
          <w:r>
            <w:rPr>
              <w:sz w:val="28"/>
              <w:szCs w:val="28"/>
            </w:rPr>
            <w:tab/>
          </w:r>
          <w:r>
            <w:rPr>
              <w:sz w:val="28"/>
              <w:szCs w:val="28"/>
            </w:rPr>
            <w:fldChar w:fldCharType="begin"/>
          </w:r>
          <w:r>
            <w:rPr>
              <w:sz w:val="28"/>
              <w:szCs w:val="28"/>
            </w:rPr>
            <w:instrText xml:space="preserve"> PAGEREF _Toc7899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_Toc28623 </w:instrText>
          </w:r>
          <w:r>
            <w:rPr>
              <w:sz w:val="28"/>
              <w:szCs w:val="28"/>
            </w:rPr>
            <w:fldChar w:fldCharType="separate"/>
          </w:r>
          <w:r>
            <w:rPr>
              <w:rFonts w:hint="eastAsia" w:eastAsia="宋体"/>
              <w:sz w:val="28"/>
              <w:szCs w:val="28"/>
              <w:lang w:val="en-GB"/>
            </w:rPr>
            <w:t xml:space="preserve">5.3.3 </w:t>
          </w:r>
          <w:r>
            <w:rPr>
              <w:rFonts w:hint="eastAsia"/>
              <w:sz w:val="28"/>
              <w:szCs w:val="28"/>
              <w:highlight w:val="none"/>
            </w:rPr>
            <w:t>交通背景噪声计算</w:t>
          </w:r>
          <w:r>
            <w:rPr>
              <w:sz w:val="28"/>
              <w:szCs w:val="28"/>
            </w:rPr>
            <w:tab/>
          </w:r>
          <w:r>
            <w:rPr>
              <w:sz w:val="28"/>
              <w:szCs w:val="28"/>
            </w:rPr>
            <w:fldChar w:fldCharType="begin"/>
          </w:r>
          <w:r>
            <w:rPr>
              <w:sz w:val="28"/>
              <w:szCs w:val="28"/>
            </w:rPr>
            <w:instrText xml:space="preserve"> PAGEREF _Toc28623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_Toc3098 </w:instrText>
          </w:r>
          <w:r>
            <w:rPr>
              <w:sz w:val="28"/>
              <w:szCs w:val="28"/>
            </w:rPr>
            <w:fldChar w:fldCharType="separate"/>
          </w:r>
          <w:r>
            <w:rPr>
              <w:rFonts w:hint="eastAsia" w:eastAsia="宋体"/>
              <w:sz w:val="28"/>
              <w:szCs w:val="28"/>
              <w:lang w:val="en-GB"/>
            </w:rPr>
            <w:t xml:space="preserve">5.3.4 </w:t>
          </w:r>
          <w:r>
            <w:rPr>
              <w:rFonts w:hint="eastAsia"/>
              <w:sz w:val="28"/>
              <w:szCs w:val="28"/>
              <w:highlight w:val="none"/>
            </w:rPr>
            <w:t>叠加空调背景噪声</w:t>
          </w:r>
          <w:r>
            <w:rPr>
              <w:sz w:val="28"/>
              <w:szCs w:val="28"/>
            </w:rPr>
            <w:tab/>
          </w:r>
          <w:r>
            <w:rPr>
              <w:sz w:val="28"/>
              <w:szCs w:val="28"/>
            </w:rPr>
            <w:fldChar w:fldCharType="begin"/>
          </w:r>
          <w:r>
            <w:rPr>
              <w:sz w:val="28"/>
              <w:szCs w:val="28"/>
            </w:rPr>
            <w:instrText xml:space="preserve"> PAGEREF _Toc3098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17"/>
            <w:tabs>
              <w:tab w:val="right" w:leader="dot" w:pos="9070"/>
              <w:tab w:val="clear" w:pos="900"/>
              <w:tab w:val="clear" w:pos="1260"/>
              <w:tab w:val="clear" w:pos="9360"/>
            </w:tabs>
            <w:rPr>
              <w:sz w:val="28"/>
              <w:szCs w:val="28"/>
            </w:rPr>
          </w:pPr>
          <w:r>
            <w:rPr>
              <w:sz w:val="28"/>
              <w:szCs w:val="28"/>
            </w:rPr>
            <w:fldChar w:fldCharType="begin"/>
          </w:r>
          <w:r>
            <w:rPr>
              <w:sz w:val="28"/>
              <w:szCs w:val="28"/>
            </w:rPr>
            <w:instrText xml:space="preserve"> HYPERLINK \l _Toc28025 </w:instrText>
          </w:r>
          <w:r>
            <w:rPr>
              <w:sz w:val="28"/>
              <w:szCs w:val="28"/>
            </w:rPr>
            <w:fldChar w:fldCharType="separate"/>
          </w:r>
          <w:r>
            <w:rPr>
              <w:rFonts w:hint="eastAsia" w:eastAsia="宋体"/>
              <w:sz w:val="28"/>
              <w:szCs w:val="28"/>
              <w:lang w:val="en-GB"/>
            </w:rPr>
            <w:t xml:space="preserve">5.3.5 </w:t>
          </w:r>
          <w:r>
            <w:rPr>
              <w:rFonts w:hint="eastAsia"/>
              <w:sz w:val="28"/>
              <w:szCs w:val="28"/>
              <w:highlight w:val="none"/>
            </w:rPr>
            <w:t>背景噪声计算结论</w:t>
          </w:r>
          <w:r>
            <w:rPr>
              <w:sz w:val="28"/>
              <w:szCs w:val="28"/>
            </w:rPr>
            <w:tab/>
          </w:r>
          <w:r>
            <w:rPr>
              <w:sz w:val="28"/>
              <w:szCs w:val="28"/>
            </w:rPr>
            <w:fldChar w:fldCharType="begin"/>
          </w:r>
          <w:r>
            <w:rPr>
              <w:sz w:val="28"/>
              <w:szCs w:val="28"/>
            </w:rPr>
            <w:instrText xml:space="preserve"> PAGEREF _Toc28025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21"/>
            <w:tabs>
              <w:tab w:val="right" w:leader="dot" w:pos="9070"/>
              <w:tab w:val="clear" w:pos="180"/>
              <w:tab w:val="clear" w:pos="420"/>
              <w:tab w:val="clear" w:pos="9360"/>
            </w:tabs>
            <w:rPr>
              <w:sz w:val="28"/>
              <w:szCs w:val="28"/>
            </w:rPr>
          </w:pPr>
          <w:r>
            <w:rPr>
              <w:sz w:val="28"/>
              <w:szCs w:val="28"/>
            </w:rPr>
            <w:fldChar w:fldCharType="begin"/>
          </w:r>
          <w:r>
            <w:rPr>
              <w:sz w:val="28"/>
              <w:szCs w:val="28"/>
            </w:rPr>
            <w:instrText xml:space="preserve"> HYPERLINK \l _Toc15243 </w:instrText>
          </w:r>
          <w:r>
            <w:rPr>
              <w:sz w:val="28"/>
              <w:szCs w:val="28"/>
            </w:rPr>
            <w:fldChar w:fldCharType="separate"/>
          </w:r>
          <w:r>
            <w:rPr>
              <w:rFonts w:hint="eastAsia"/>
              <w:sz w:val="28"/>
              <w:szCs w:val="28"/>
            </w:rPr>
            <w:t xml:space="preserve">6. </w:t>
          </w:r>
          <w:r>
            <w:rPr>
              <w:rFonts w:hint="eastAsia"/>
              <w:sz w:val="28"/>
              <w:szCs w:val="28"/>
              <w:highlight w:val="none"/>
            </w:rPr>
            <w:t>结论</w:t>
          </w:r>
          <w:r>
            <w:rPr>
              <w:sz w:val="28"/>
              <w:szCs w:val="28"/>
            </w:rPr>
            <w:tab/>
          </w:r>
          <w:r>
            <w:rPr>
              <w:sz w:val="28"/>
              <w:szCs w:val="28"/>
            </w:rPr>
            <w:fldChar w:fldCharType="begin"/>
          </w:r>
          <w:r>
            <w:rPr>
              <w:sz w:val="28"/>
              <w:szCs w:val="28"/>
            </w:rPr>
            <w:instrText xml:space="preserve"> PAGEREF _Toc15243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_Toc31736 </w:instrText>
          </w:r>
          <w:r>
            <w:rPr>
              <w:sz w:val="28"/>
              <w:szCs w:val="28"/>
            </w:rPr>
            <w:fldChar w:fldCharType="separate"/>
          </w:r>
          <w:r>
            <w:rPr>
              <w:rFonts w:hint="eastAsia"/>
              <w:sz w:val="28"/>
              <w:szCs w:val="28"/>
              <w:lang w:val="en-US"/>
            </w:rPr>
            <w:t xml:space="preserve">6.1 </w:t>
          </w:r>
          <w:r>
            <w:rPr>
              <w:rFonts w:hint="eastAsia"/>
              <w:sz w:val="28"/>
              <w:szCs w:val="28"/>
              <w:highlight w:val="none"/>
            </w:rPr>
            <w:t>隔声</w:t>
          </w:r>
          <w:r>
            <w:rPr>
              <w:sz w:val="28"/>
              <w:szCs w:val="28"/>
            </w:rPr>
            <w:tab/>
          </w:r>
          <w:r>
            <w:rPr>
              <w:sz w:val="28"/>
              <w:szCs w:val="28"/>
            </w:rPr>
            <w:fldChar w:fldCharType="begin"/>
          </w:r>
          <w:r>
            <w:rPr>
              <w:sz w:val="28"/>
              <w:szCs w:val="28"/>
            </w:rPr>
            <w:instrText xml:space="preserve"> PAGEREF _Toc31736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22"/>
            <w:tabs>
              <w:tab w:val="right" w:leader="dot" w:pos="9070"/>
              <w:tab w:val="clear" w:pos="540"/>
              <w:tab w:val="clear" w:pos="840"/>
              <w:tab w:val="clear" w:pos="9360"/>
            </w:tabs>
            <w:rPr>
              <w:sz w:val="28"/>
              <w:szCs w:val="28"/>
            </w:rPr>
          </w:pPr>
          <w:r>
            <w:rPr>
              <w:sz w:val="28"/>
              <w:szCs w:val="28"/>
            </w:rPr>
            <w:fldChar w:fldCharType="begin"/>
          </w:r>
          <w:r>
            <w:rPr>
              <w:sz w:val="28"/>
              <w:szCs w:val="28"/>
            </w:rPr>
            <w:instrText xml:space="preserve"> HYPERLINK \l _Toc30515 </w:instrText>
          </w:r>
          <w:r>
            <w:rPr>
              <w:sz w:val="28"/>
              <w:szCs w:val="28"/>
            </w:rPr>
            <w:fldChar w:fldCharType="separate"/>
          </w:r>
          <w:r>
            <w:rPr>
              <w:rFonts w:hint="eastAsia"/>
              <w:sz w:val="28"/>
              <w:szCs w:val="28"/>
              <w:lang w:val="en-US"/>
            </w:rPr>
            <w:t xml:space="preserve">6.2 </w:t>
          </w:r>
          <w:r>
            <w:rPr>
              <w:rFonts w:hint="eastAsia"/>
              <w:sz w:val="28"/>
              <w:szCs w:val="28"/>
              <w:highlight w:val="none"/>
            </w:rPr>
            <w:t>室内背景噪声</w:t>
          </w:r>
          <w:r>
            <w:rPr>
              <w:sz w:val="28"/>
              <w:szCs w:val="28"/>
            </w:rPr>
            <w:tab/>
          </w:r>
          <w:r>
            <w:rPr>
              <w:sz w:val="28"/>
              <w:szCs w:val="28"/>
            </w:rPr>
            <w:fldChar w:fldCharType="begin"/>
          </w:r>
          <w:r>
            <w:rPr>
              <w:sz w:val="28"/>
              <w:szCs w:val="28"/>
            </w:rPr>
            <w:instrText xml:space="preserve"> PAGEREF _Toc30515 </w:instrText>
          </w:r>
          <w:r>
            <w:rPr>
              <w:sz w:val="28"/>
              <w:szCs w:val="28"/>
            </w:rPr>
            <w:fldChar w:fldCharType="separate"/>
          </w:r>
          <w:r>
            <w:rPr>
              <w:sz w:val="28"/>
              <w:szCs w:val="28"/>
            </w:rPr>
            <w:t>31</w:t>
          </w:r>
          <w:r>
            <w:rPr>
              <w:sz w:val="28"/>
              <w:szCs w:val="28"/>
            </w:rPr>
            <w:fldChar w:fldCharType="end"/>
          </w:r>
          <w:r>
            <w:rPr>
              <w:sz w:val="28"/>
              <w:szCs w:val="28"/>
            </w:rPr>
            <w:fldChar w:fldCharType="end"/>
          </w:r>
        </w:p>
        <w:p>
          <w:pPr>
            <w:rPr>
              <w:rFonts w:hint="default" w:asciiTheme="minorEastAsia" w:hAnsiTheme="minorEastAsia" w:eastAsiaTheme="minorEastAsia" w:cstheme="minorEastAsia"/>
              <w:b/>
              <w:bCs w:val="0"/>
              <w:color w:val="000000" w:themeColor="text1"/>
              <w:sz w:val="28"/>
              <w:szCs w:val="28"/>
              <w:highlight w:val="none"/>
              <w:lang w:val="en-US" w:eastAsia="zh-CN"/>
              <w14:textFill>
                <w14:solidFill>
                  <w14:schemeClr w14:val="tx1"/>
                </w14:solidFill>
              </w14:textFill>
            </w:rPr>
          </w:pPr>
          <w:r>
            <w:rPr>
              <w:sz w:val="28"/>
              <w:szCs w:val="28"/>
            </w:rPr>
            <w:fldChar w:fldCharType="end"/>
          </w:r>
        </w:p>
      </w:sdtContent>
    </w:sdt>
    <w:p>
      <w:pPr>
        <w:pStyle w:val="3"/>
        <w:spacing w:line="360" w:lineRule="auto"/>
        <w:rPr>
          <w:color w:val="000000" w:themeColor="text1"/>
          <w:highlight w:val="none"/>
          <w14:textFill>
            <w14:solidFill>
              <w14:schemeClr w14:val="tx1"/>
            </w14:solidFill>
          </w14:textFill>
        </w:rPr>
      </w:pPr>
      <w:bookmarkStart w:id="0" w:name="_Toc31093"/>
      <w:bookmarkStart w:id="1" w:name="_Toc8884"/>
      <w:bookmarkStart w:id="2" w:name="_Toc5379"/>
      <w:bookmarkStart w:id="3" w:name="_Toc452108759"/>
      <w:bookmarkStart w:id="4" w:name="_Toc21467"/>
      <w:bookmarkStart w:id="5" w:name="_Toc19458"/>
      <w:bookmarkStart w:id="6" w:name="_Toc452108760"/>
      <w:bookmarkStart w:id="7" w:name="_Toc37931760"/>
      <w:r>
        <w:rPr>
          <w:rFonts w:hint="eastAsia"/>
          <w:color w:val="000000" w:themeColor="text1"/>
          <w:highlight w:val="none"/>
          <w14:textFill>
            <w14:solidFill>
              <w14:schemeClr w14:val="tx1"/>
            </w14:solidFill>
          </w14:textFill>
        </w:rPr>
        <w:t>项目概况</w:t>
      </w:r>
      <w:bookmarkEnd w:id="0"/>
      <w:bookmarkEnd w:id="1"/>
      <w:bookmarkEnd w:id="2"/>
      <w:bookmarkEnd w:id="3"/>
      <w:bookmarkEnd w:id="4"/>
    </w:p>
    <w:bookmarkEnd w:id="5"/>
    <w:bookmarkEnd w:id="6"/>
    <w:bookmarkEnd w:id="7"/>
    <w:p>
      <w:pPr>
        <w:ind w:firstLine="420"/>
        <w:rPr>
          <w:sz w:val="28"/>
          <w:highlight w:val="none"/>
        </w:rPr>
      </w:pPr>
      <w:bookmarkStart w:id="8" w:name="项目概况"/>
      <w:bookmarkEnd w:id="8"/>
      <w:r>
        <w:rPr>
          <w:rFonts w:hint="eastAsia"/>
          <w:sz w:val="28"/>
          <w:highlight w:val="none"/>
        </w:rPr>
        <w:t>该项目位于夏热冬暖南区深圳的桂庙新村，原建筑场地内多为自建房，建筑局部凌乱，建筑密度高，相互遮挡严重，社区内风、热等物理环境较差。本建筑以单体建筑改造为切入点，选取桂庙新村中心地段紧密相连的三栋住宅，原建筑间距过窄，隐私性差，采光不足，通风不畅，夏季闷热；考虑到桂庙新村紧邻深圳大学和腾讯、百度等大型互联网企业，创业者和刚毕业的学生有大量的租房需求，为此，将这三栋住宅改造为一栋办公建筑，共七层，合理增设遮阳设施，增大采光面积，提升维护结构和空调设备性能，同时采用太阳能光伏系统，充分利用可再生能源，提升绿色性能；另外对社区内部进行整改，如底层架空，拆除过密建筑等等，并以此办公建筑改造为模范建筑，参照其改造策略依次对周边需要改造提升的建筑进行改造，最终形成“居住+办公”的绿色生态社区</w:t>
      </w:r>
      <w:r>
        <w:rPr>
          <w:sz w:val="28"/>
          <w:highlight w:val="none"/>
        </w:rPr>
        <w:t>。</w:t>
      </w:r>
    </w:p>
    <w:p>
      <w:pPr>
        <w:rPr>
          <w:sz w:val="28"/>
          <w:highlight w:val="none"/>
        </w:rPr>
      </w:pPr>
      <w:bookmarkStart w:id="9" w:name="_Hlk93828303"/>
      <w:r>
        <w:drawing>
          <wp:anchor distT="0" distB="0" distL="114300" distR="114300" simplePos="0" relativeHeight="251700224" behindDoc="0" locked="0" layoutInCell="1" allowOverlap="1">
            <wp:simplePos x="0" y="0"/>
            <wp:positionH relativeFrom="column">
              <wp:posOffset>13335</wp:posOffset>
            </wp:positionH>
            <wp:positionV relativeFrom="paragraph">
              <wp:posOffset>59055</wp:posOffset>
            </wp:positionV>
            <wp:extent cx="5754370" cy="3214370"/>
            <wp:effectExtent l="0" t="0" r="17780" b="5080"/>
            <wp:wrapTopAndBottom/>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6"/>
                    <a:stretch>
                      <a:fillRect/>
                    </a:stretch>
                  </pic:blipFill>
                  <pic:spPr>
                    <a:xfrm>
                      <a:off x="0" y="0"/>
                      <a:ext cx="5754370" cy="3214370"/>
                    </a:xfrm>
                    <a:prstGeom prst="rect">
                      <a:avLst/>
                    </a:prstGeom>
                    <a:noFill/>
                    <a:ln>
                      <a:noFill/>
                    </a:ln>
                  </pic:spPr>
                </pic:pic>
              </a:graphicData>
            </a:graphic>
          </wp:anchor>
        </w:drawing>
      </w:r>
    </w:p>
    <w:p>
      <w:pPr>
        <w:jc w:val="center"/>
        <w:rPr>
          <w:rFonts w:hint="eastAsia"/>
          <w:sz w:val="28"/>
          <w:highlight w:val="none"/>
          <w:lang w:val="en-US"/>
        </w:rPr>
      </w:pPr>
      <w:r>
        <w:rPr>
          <w:rFonts w:hint="eastAsia"/>
          <w:sz w:val="28"/>
          <w:highlight w:val="none"/>
        </w:rPr>
        <w:t>图</w:t>
      </w:r>
      <w:r>
        <w:rPr>
          <w:sz w:val="28"/>
          <w:highlight w:val="none"/>
        </w:rPr>
        <w:t>1 鸟瞰图</w:t>
      </w:r>
      <w:bookmarkEnd w:id="9"/>
    </w:p>
    <w:p>
      <w:pPr>
        <w:pStyle w:val="3"/>
        <w:spacing w:line="360" w:lineRule="auto"/>
        <w:rPr>
          <w:color w:val="000000" w:themeColor="text1"/>
          <w:highlight w:val="none"/>
          <w14:textFill>
            <w14:solidFill>
              <w14:schemeClr w14:val="tx1"/>
            </w14:solidFill>
          </w14:textFill>
        </w:rPr>
      </w:pPr>
      <w:bookmarkStart w:id="10" w:name="_Toc4851"/>
      <w:bookmarkStart w:id="11" w:name="_Toc16449"/>
      <w:r>
        <w:rPr>
          <w:rFonts w:hint="eastAsia"/>
          <w:color w:val="000000" w:themeColor="text1"/>
          <w:highlight w:val="none"/>
          <w14:textFill>
            <w14:solidFill>
              <w14:schemeClr w14:val="tx1"/>
            </w14:solidFill>
          </w14:textFill>
        </w:rPr>
        <w:t>标准要求及说明</w:t>
      </w:r>
      <w:bookmarkEnd w:id="10"/>
      <w:bookmarkEnd w:id="11"/>
    </w:p>
    <w:p>
      <w:pPr>
        <w:spacing w:line="360" w:lineRule="auto"/>
        <w:ind w:firstLine="560" w:firstLineChars="200"/>
        <w:outlineLvl w:val="1"/>
        <w:rPr>
          <w:rFonts w:ascii="宋体" w:hAnsi="宋体"/>
          <w:color w:val="000000" w:themeColor="text1"/>
          <w:sz w:val="28"/>
          <w:highlight w:val="none"/>
          <w:lang w:val="en-US"/>
          <w14:textFill>
            <w14:solidFill>
              <w14:schemeClr w14:val="tx1"/>
            </w14:solidFill>
          </w14:textFill>
        </w:rPr>
      </w:pPr>
      <w:bookmarkStart w:id="12" w:name="_Toc24743_WPSOffice_Level2"/>
      <w:bookmarkStart w:id="13" w:name="_Toc16369"/>
      <w:bookmarkStart w:id="14" w:name="_Toc4216"/>
      <w:r>
        <w:rPr>
          <w:rFonts w:ascii="宋体" w:hAnsi="宋体"/>
          <w:color w:val="000000" w:themeColor="text1"/>
          <w:sz w:val="28"/>
          <w:highlight w:val="none"/>
          <w14:textFill>
            <w14:solidFill>
              <w14:schemeClr w14:val="tx1"/>
            </w14:solidFill>
          </w14:textFill>
        </w:rPr>
        <w:t xml:space="preserve">1. </w:t>
      </w:r>
      <w:bookmarkEnd w:id="12"/>
      <w:r>
        <w:rPr>
          <w:rFonts w:hint="eastAsia" w:ascii="宋体" w:hAnsi="宋体"/>
          <w:color w:val="000000" w:themeColor="text1"/>
          <w:sz w:val="28"/>
          <w:highlight w:val="none"/>
          <w:lang w:val="en-US"/>
          <w14:textFill>
            <w14:solidFill>
              <w14:schemeClr w14:val="tx1"/>
            </w14:solidFill>
          </w14:textFill>
        </w:rPr>
        <w:t>《绿色建筑评价标准》</w:t>
      </w:r>
      <w:bookmarkEnd w:id="13"/>
      <w:r>
        <w:rPr>
          <w:rFonts w:ascii="宋体" w:hAnsi="宋体"/>
          <w:color w:val="000000" w:themeColor="text1"/>
          <w:sz w:val="28"/>
          <w:highlight w:val="none"/>
          <w:lang w:val="en-US"/>
          <w14:textFill>
            <w14:solidFill>
              <w14:schemeClr w14:val="tx1"/>
            </w14:solidFill>
          </w14:textFill>
        </w:rPr>
        <w:t>GB/T 50378-2019</w:t>
      </w:r>
      <w:bookmarkEnd w:id="14"/>
    </w:p>
    <w:p>
      <w:pPr>
        <w:spacing w:line="360" w:lineRule="auto"/>
        <w:ind w:firstLine="560" w:firstLineChars="200"/>
        <w:outlineLvl w:val="1"/>
        <w:rPr>
          <w:rFonts w:ascii="宋体" w:hAnsi="宋体"/>
          <w:color w:val="000000" w:themeColor="text1"/>
          <w:sz w:val="28"/>
          <w:highlight w:val="none"/>
          <w14:textFill>
            <w14:solidFill>
              <w14:schemeClr w14:val="tx1"/>
            </w14:solidFill>
          </w14:textFill>
        </w:rPr>
      </w:pPr>
      <w:bookmarkStart w:id="15" w:name="_Toc29499"/>
      <w:bookmarkStart w:id="16" w:name="_Toc792"/>
      <w:bookmarkStart w:id="17" w:name="_Toc20405_WPSOffice_Level2"/>
      <w:r>
        <w:rPr>
          <w:rFonts w:ascii="宋体" w:hAnsi="宋体"/>
          <w:color w:val="000000" w:themeColor="text1"/>
          <w:sz w:val="28"/>
          <w:highlight w:val="none"/>
          <w14:textFill>
            <w14:solidFill>
              <w14:schemeClr w14:val="tx1"/>
            </w14:solidFill>
          </w14:textFill>
        </w:rPr>
        <w:t xml:space="preserve">2. </w:t>
      </w:r>
      <w:r>
        <w:rPr>
          <w:rFonts w:hint="eastAsia" w:ascii="宋体" w:hAnsi="宋体"/>
          <w:color w:val="000000" w:themeColor="text1"/>
          <w:sz w:val="28"/>
          <w:highlight w:val="none"/>
          <w14:textFill>
            <w14:solidFill>
              <w14:schemeClr w14:val="tx1"/>
            </w14:solidFill>
          </w14:textFill>
        </w:rPr>
        <w:t>《民用建筑隔声设计规范》</w:t>
      </w:r>
      <w:r>
        <w:rPr>
          <w:rFonts w:ascii="宋体" w:hAnsi="宋体"/>
          <w:color w:val="000000" w:themeColor="text1"/>
          <w:sz w:val="28"/>
          <w:highlight w:val="none"/>
          <w14:textFill>
            <w14:solidFill>
              <w14:schemeClr w14:val="tx1"/>
            </w14:solidFill>
          </w14:textFill>
        </w:rPr>
        <w:t>(GB50118-2010)</w:t>
      </w:r>
      <w:bookmarkEnd w:id="15"/>
      <w:bookmarkEnd w:id="16"/>
      <w:bookmarkEnd w:id="17"/>
    </w:p>
    <w:p>
      <w:pPr>
        <w:spacing w:line="360" w:lineRule="auto"/>
        <w:ind w:firstLine="560" w:firstLineChars="200"/>
        <w:outlineLvl w:val="1"/>
        <w:rPr>
          <w:rFonts w:ascii="宋体" w:hAnsi="宋体"/>
          <w:color w:val="000000" w:themeColor="text1"/>
          <w:sz w:val="28"/>
          <w:highlight w:val="none"/>
          <w14:textFill>
            <w14:solidFill>
              <w14:schemeClr w14:val="tx1"/>
            </w14:solidFill>
          </w14:textFill>
        </w:rPr>
      </w:pPr>
      <w:bookmarkStart w:id="18" w:name="_Toc21506"/>
      <w:bookmarkStart w:id="19" w:name="_Toc19998"/>
      <w:bookmarkStart w:id="20" w:name="_Toc20715_WPSOffice_Level2"/>
      <w:r>
        <w:rPr>
          <w:rFonts w:ascii="宋体" w:hAnsi="宋体"/>
          <w:color w:val="000000" w:themeColor="text1"/>
          <w:sz w:val="28"/>
          <w:highlight w:val="none"/>
          <w14:textFill>
            <w14:solidFill>
              <w14:schemeClr w14:val="tx1"/>
            </w14:solidFill>
          </w14:textFill>
        </w:rPr>
        <w:t xml:space="preserve">3. </w:t>
      </w:r>
      <w:r>
        <w:rPr>
          <w:rFonts w:hint="eastAsia" w:ascii="宋体" w:hAnsi="宋体"/>
          <w:color w:val="000000" w:themeColor="text1"/>
          <w:sz w:val="28"/>
          <w:highlight w:val="none"/>
          <w14:textFill>
            <w14:solidFill>
              <w14:schemeClr w14:val="tx1"/>
            </w14:solidFill>
          </w14:textFill>
        </w:rPr>
        <w:t>《建筑隔声评价标准》</w:t>
      </w:r>
      <w:r>
        <w:rPr>
          <w:rFonts w:ascii="宋体" w:hAnsi="宋体"/>
          <w:color w:val="000000" w:themeColor="text1"/>
          <w:sz w:val="28"/>
          <w:highlight w:val="none"/>
          <w14:textFill>
            <w14:solidFill>
              <w14:schemeClr w14:val="tx1"/>
            </w14:solidFill>
          </w14:textFill>
        </w:rPr>
        <w:t>(GB/T 50121-2005)</w:t>
      </w:r>
      <w:bookmarkEnd w:id="18"/>
      <w:bookmarkEnd w:id="19"/>
      <w:bookmarkEnd w:id="20"/>
    </w:p>
    <w:p>
      <w:pPr>
        <w:spacing w:line="360" w:lineRule="auto"/>
        <w:ind w:firstLine="560" w:firstLineChars="200"/>
        <w:outlineLvl w:val="1"/>
        <w:rPr>
          <w:rFonts w:ascii="宋体" w:hAnsi="宋体"/>
          <w:color w:val="000000" w:themeColor="text1"/>
          <w:sz w:val="28"/>
          <w:highlight w:val="none"/>
          <w14:textFill>
            <w14:solidFill>
              <w14:schemeClr w14:val="tx1"/>
            </w14:solidFill>
          </w14:textFill>
        </w:rPr>
      </w:pPr>
      <w:bookmarkStart w:id="21" w:name="_Toc5902"/>
      <w:bookmarkStart w:id="22" w:name="_Toc19625"/>
      <w:bookmarkStart w:id="23" w:name="_Toc29788_WPSOffice_Level2"/>
      <w:r>
        <w:rPr>
          <w:rFonts w:ascii="宋体" w:hAnsi="宋体"/>
          <w:color w:val="000000" w:themeColor="text1"/>
          <w:sz w:val="28"/>
          <w:highlight w:val="none"/>
          <w14:textFill>
            <w14:solidFill>
              <w14:schemeClr w14:val="tx1"/>
            </w14:solidFill>
          </w14:textFill>
        </w:rPr>
        <w:t xml:space="preserve">4. </w:t>
      </w:r>
      <w:r>
        <w:rPr>
          <w:rFonts w:hint="eastAsia" w:ascii="宋体" w:hAnsi="宋体"/>
          <w:color w:val="000000" w:themeColor="text1"/>
          <w:sz w:val="28"/>
          <w:highlight w:val="none"/>
          <w14:textFill>
            <w14:solidFill>
              <w14:schemeClr w14:val="tx1"/>
            </w14:solidFill>
          </w14:textFill>
        </w:rPr>
        <w:t>《建筑声学设计手册》（中国建筑工业出版社出版）</w:t>
      </w:r>
      <w:bookmarkEnd w:id="21"/>
      <w:bookmarkEnd w:id="22"/>
      <w:bookmarkEnd w:id="23"/>
    </w:p>
    <w:p>
      <w:pPr>
        <w:spacing w:line="360" w:lineRule="auto"/>
        <w:ind w:firstLine="560" w:firstLineChars="200"/>
        <w:outlineLvl w:val="1"/>
        <w:rPr>
          <w:rFonts w:ascii="宋体" w:hAnsi="宋体"/>
          <w:color w:val="000000" w:themeColor="text1"/>
          <w:sz w:val="28"/>
          <w:highlight w:val="none"/>
          <w14:textFill>
            <w14:solidFill>
              <w14:schemeClr w14:val="tx1"/>
            </w14:solidFill>
          </w14:textFill>
        </w:rPr>
      </w:pPr>
      <w:bookmarkStart w:id="24" w:name="_Toc7741_WPSOffice_Level2"/>
      <w:bookmarkStart w:id="25" w:name="_Toc17962"/>
      <w:bookmarkStart w:id="26" w:name="_Toc12522"/>
      <w:r>
        <w:rPr>
          <w:rFonts w:ascii="宋体" w:hAnsi="宋体"/>
          <w:color w:val="000000" w:themeColor="text1"/>
          <w:sz w:val="28"/>
          <w:highlight w:val="none"/>
          <w14:textFill>
            <w14:solidFill>
              <w14:schemeClr w14:val="tx1"/>
            </w14:solidFill>
          </w14:textFill>
        </w:rPr>
        <w:t xml:space="preserve">5.  </w:t>
      </w:r>
      <w:r>
        <w:rPr>
          <w:rFonts w:hint="eastAsia" w:ascii="宋体" w:hAnsi="宋体"/>
          <w:color w:val="000000" w:themeColor="text1"/>
          <w:sz w:val="28"/>
          <w:highlight w:val="none"/>
          <w14:textFill>
            <w14:solidFill>
              <w14:schemeClr w14:val="tx1"/>
            </w14:solidFill>
          </w14:textFill>
        </w:rPr>
        <w:t>《建筑隔声设计</w:t>
      </w:r>
      <w:r>
        <w:rPr>
          <w:rFonts w:ascii="宋体" w:hAnsi="宋体"/>
          <w:color w:val="000000" w:themeColor="text1"/>
          <w:sz w:val="28"/>
          <w:highlight w:val="none"/>
          <w14:textFill>
            <w14:solidFill>
              <w14:schemeClr w14:val="tx1"/>
            </w14:solidFill>
          </w14:textFill>
        </w:rPr>
        <w:t>—</w:t>
      </w:r>
      <w:r>
        <w:rPr>
          <w:rFonts w:hint="eastAsia" w:ascii="宋体" w:hAnsi="宋体"/>
          <w:color w:val="000000" w:themeColor="text1"/>
          <w:sz w:val="28"/>
          <w:highlight w:val="none"/>
          <w14:textFill>
            <w14:solidFill>
              <w14:schemeClr w14:val="tx1"/>
            </w14:solidFill>
          </w14:textFill>
        </w:rPr>
        <w:t>空气声隔声技术》（中国建筑工业出版社出版）</w:t>
      </w:r>
      <w:bookmarkEnd w:id="24"/>
      <w:bookmarkEnd w:id="25"/>
      <w:bookmarkEnd w:id="26"/>
    </w:p>
    <w:p>
      <w:pPr>
        <w:pStyle w:val="3"/>
        <w:spacing w:line="360" w:lineRule="auto"/>
        <w:rPr>
          <w:color w:val="000000" w:themeColor="text1"/>
          <w:highlight w:val="none"/>
          <w14:textFill>
            <w14:solidFill>
              <w14:schemeClr w14:val="tx1"/>
            </w14:solidFill>
          </w14:textFill>
        </w:rPr>
      </w:pPr>
      <w:bookmarkStart w:id="27" w:name="_Toc531946301"/>
      <w:bookmarkStart w:id="28" w:name="_Toc17217"/>
      <w:bookmarkStart w:id="29" w:name="_Toc531946327"/>
      <w:bookmarkStart w:id="30" w:name="_Toc31734"/>
      <w:bookmarkStart w:id="31" w:name="_Toc20405_WPSOffice_Level1"/>
      <w:r>
        <w:rPr>
          <w:rFonts w:hint="eastAsia"/>
          <w:color w:val="000000" w:themeColor="text1"/>
          <w:highlight w:val="none"/>
          <w14:textFill>
            <w14:solidFill>
              <w14:schemeClr w14:val="tx1"/>
            </w14:solidFill>
          </w14:textFill>
        </w:rPr>
        <w:t>评价要求</w:t>
      </w:r>
      <w:bookmarkEnd w:id="27"/>
      <w:bookmarkEnd w:id="28"/>
      <w:bookmarkEnd w:id="29"/>
      <w:bookmarkEnd w:id="30"/>
      <w:bookmarkEnd w:id="31"/>
    </w:p>
    <w:p>
      <w:pPr>
        <w:pStyle w:val="5"/>
        <w:spacing w:line="360" w:lineRule="auto"/>
        <w:rPr>
          <w:color w:val="000000" w:themeColor="text1"/>
          <w:sz w:val="28"/>
          <w:highlight w:val="none"/>
          <w14:textFill>
            <w14:solidFill>
              <w14:schemeClr w14:val="tx1"/>
            </w14:solidFill>
          </w14:textFill>
        </w:rPr>
      </w:pPr>
      <w:bookmarkStart w:id="32" w:name="_Toc531946302"/>
      <w:bookmarkStart w:id="33" w:name="_Toc495911836"/>
      <w:bookmarkStart w:id="34" w:name="_Toc29738"/>
      <w:bookmarkStart w:id="35" w:name="_Toc1962_WPSOffice_Level2"/>
      <w:bookmarkStart w:id="36" w:name="_Toc19480"/>
      <w:bookmarkStart w:id="37" w:name="_Toc531946328"/>
      <w:r>
        <w:rPr>
          <w:rFonts w:hint="eastAsia"/>
          <w:color w:val="000000" w:themeColor="text1"/>
          <w:sz w:val="28"/>
          <w:highlight w:val="none"/>
          <w14:textFill>
            <w14:solidFill>
              <w14:schemeClr w14:val="tx1"/>
            </w14:solidFill>
          </w14:textFill>
        </w:rPr>
        <w:t>隔声要求</w:t>
      </w:r>
      <w:bookmarkEnd w:id="32"/>
      <w:bookmarkEnd w:id="33"/>
      <w:bookmarkEnd w:id="34"/>
      <w:bookmarkEnd w:id="35"/>
      <w:bookmarkEnd w:id="36"/>
      <w:bookmarkEnd w:id="37"/>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《绿色建筑评价标准》</w:t>
      </w:r>
      <w:r>
        <w:rPr>
          <w:rFonts w:ascii="宋体" w:hAnsi="宋体"/>
          <w:color w:val="000000" w:themeColor="text1"/>
          <w:sz w:val="28"/>
          <w:highlight w:val="none"/>
          <w14:textFill>
            <w14:solidFill>
              <w14:schemeClr w14:val="tx1"/>
            </w14:solidFill>
          </w14:textFill>
        </w:rPr>
        <w:t>GB/T 50378-2019</w:t>
      </w:r>
      <w:r>
        <w:rPr>
          <w:rFonts w:hint="eastAsia" w:ascii="宋体" w:hAnsi="宋体"/>
          <w:color w:val="000000" w:themeColor="text1"/>
          <w:sz w:val="28"/>
          <w:highlight w:val="none"/>
          <w14:textFill>
            <w14:solidFill>
              <w14:schemeClr w14:val="tx1"/>
            </w14:solidFill>
          </w14:textFill>
        </w:rPr>
        <w:t>第</w:t>
      </w:r>
      <w:r>
        <w:rPr>
          <w:rFonts w:ascii="宋体" w:hAnsi="宋体"/>
          <w:color w:val="000000" w:themeColor="text1"/>
          <w:sz w:val="28"/>
          <w:highlight w:val="none"/>
          <w14:textFill>
            <w14:solidFill>
              <w14:schemeClr w14:val="tx1"/>
            </w14:solidFill>
          </w14:textFill>
        </w:rPr>
        <w:t>5</w:t>
      </w:r>
      <w:r>
        <w:rPr>
          <w:rFonts w:hint="eastAsia" w:ascii="宋体" w:hAnsi="宋体"/>
          <w:color w:val="000000" w:themeColor="text1"/>
          <w:sz w:val="28"/>
          <w:highlight w:val="none"/>
          <w14:textFill>
            <w14:solidFill>
              <w14:schemeClr w14:val="tx1"/>
            </w14:solidFill>
          </w14:textFill>
        </w:rPr>
        <w:t>.1.</w:t>
      </w:r>
      <w:r>
        <w:rPr>
          <w:rFonts w:ascii="宋体" w:hAnsi="宋体"/>
          <w:color w:val="000000" w:themeColor="text1"/>
          <w:sz w:val="28"/>
          <w:highlight w:val="none"/>
          <w14:textFill>
            <w14:solidFill>
              <w14:schemeClr w14:val="tx1"/>
            </w14:solidFill>
          </w14:textFill>
        </w:rPr>
        <w:t>4</w:t>
      </w:r>
      <w:r>
        <w:rPr>
          <w:rFonts w:hint="eastAsia" w:ascii="宋体" w:hAnsi="宋体"/>
          <w:color w:val="000000" w:themeColor="text1"/>
          <w:sz w:val="28"/>
          <w:highlight w:val="none"/>
          <w14:textFill>
            <w14:solidFill>
              <w14:schemeClr w14:val="tx1"/>
            </w14:solidFill>
          </w14:textFill>
        </w:rPr>
        <w:t>条、第5</w:t>
      </w:r>
      <w:r>
        <w:rPr>
          <w:rFonts w:ascii="宋体" w:hAnsi="宋体"/>
          <w:color w:val="000000" w:themeColor="text1"/>
          <w:sz w:val="28"/>
          <w:highlight w:val="none"/>
          <w14:textFill>
            <w14:solidFill>
              <w14:schemeClr w14:val="tx1"/>
            </w14:solidFill>
          </w14:textFill>
        </w:rPr>
        <w:t>.2.7</w:t>
      </w:r>
      <w:r>
        <w:rPr>
          <w:rFonts w:hint="eastAsia" w:ascii="宋体" w:hAnsi="宋体"/>
          <w:color w:val="000000" w:themeColor="text1"/>
          <w:sz w:val="28"/>
          <w:highlight w:val="none"/>
          <w14:textFill>
            <w14:solidFill>
              <w14:schemeClr w14:val="tx1"/>
            </w14:solidFill>
          </w14:textFill>
        </w:rPr>
        <w:t>条对建筑围护结构提出了明确的相关要求。</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w:t>
      </w:r>
      <w:r>
        <w:rPr>
          <w:rFonts w:ascii="宋体" w:hAnsi="宋体"/>
          <w:color w:val="000000" w:themeColor="text1"/>
          <w:sz w:val="28"/>
          <w:highlight w:val="none"/>
          <w14:textFill>
            <w14:solidFill>
              <w14:schemeClr w14:val="tx1"/>
            </w14:solidFill>
          </w14:textFill>
        </w:rPr>
        <w:t>5.1.4</w:t>
      </w:r>
      <w:r>
        <w:rPr>
          <w:rFonts w:hint="eastAsia" w:ascii="宋体" w:hAnsi="宋体"/>
          <w:color w:val="000000" w:themeColor="text1"/>
          <w:sz w:val="28"/>
          <w:highlight w:val="none"/>
          <w14:textFill>
            <w14:solidFill>
              <w14:schemeClr w14:val="tx1"/>
            </w14:solidFill>
          </w14:textFill>
        </w:rPr>
        <w:t>主要功能房间的外墙、隔墙、楼板和门窗的隔声性能应能满足现行国家标准《民用建筑隔声设计规范》GB 50118中低限要求。</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ascii="宋体" w:hAnsi="宋体"/>
          <w:color w:val="000000" w:themeColor="text1"/>
          <w:sz w:val="28"/>
          <w:highlight w:val="none"/>
          <w14:textFill>
            <w14:solidFill>
              <w14:schemeClr w14:val="tx1"/>
            </w14:solidFill>
          </w14:textFill>
        </w:rPr>
        <w:t>5.2.7</w:t>
      </w:r>
      <w:r>
        <w:rPr>
          <w:rFonts w:hint="eastAsia" w:ascii="宋体" w:hAnsi="宋体"/>
          <w:color w:val="000000" w:themeColor="text1"/>
          <w:sz w:val="28"/>
          <w:highlight w:val="none"/>
          <w14:textFill>
            <w14:solidFill>
              <w14:schemeClr w14:val="tx1"/>
            </w14:solidFill>
          </w14:textFill>
        </w:rPr>
        <w:t>主要功能房间的隔声性能好，评价总分值为</w:t>
      </w:r>
      <w:r>
        <w:rPr>
          <w:rFonts w:ascii="宋体" w:hAnsi="宋体"/>
          <w:color w:val="000000" w:themeColor="text1"/>
          <w:sz w:val="28"/>
          <w:highlight w:val="none"/>
          <w14:textFill>
            <w14:solidFill>
              <w14:schemeClr w14:val="tx1"/>
            </w14:solidFill>
          </w14:textFill>
        </w:rPr>
        <w:t>10</w:t>
      </w:r>
      <w:r>
        <w:rPr>
          <w:rFonts w:hint="eastAsia" w:ascii="宋体" w:hAnsi="宋体"/>
          <w:color w:val="000000" w:themeColor="text1"/>
          <w:sz w:val="28"/>
          <w:highlight w:val="none"/>
          <w14:textFill>
            <w14:solidFill>
              <w14:schemeClr w14:val="tx1"/>
            </w14:solidFill>
          </w14:textFill>
        </w:rPr>
        <w:t>分，并按下列规则分别评分并累计：</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fldChar w:fldCharType="begin"/>
      </w:r>
      <w:r>
        <w:rPr>
          <w:rFonts w:hint="eastAsia" w:ascii="宋体" w:hAnsi="宋体"/>
          <w:color w:val="000000" w:themeColor="text1"/>
          <w:sz w:val="28"/>
          <w:highlight w:val="none"/>
          <w14:textFill>
            <w14:solidFill>
              <w14:schemeClr w14:val="tx1"/>
            </w14:solidFill>
          </w14:textFill>
        </w:rPr>
        <w:instrText xml:space="preserve"> = 1 \* Arabic </w:instrText>
      </w:r>
      <w:r>
        <w:rPr>
          <w:rFonts w:hint="eastAsia" w:ascii="宋体" w:hAnsi="宋体"/>
          <w:color w:val="000000" w:themeColor="text1"/>
          <w:sz w:val="28"/>
          <w:highlight w:val="none"/>
          <w14:textFill>
            <w14:solidFill>
              <w14:schemeClr w14:val="tx1"/>
            </w14:solidFill>
          </w14:textFill>
        </w:rPr>
        <w:fldChar w:fldCharType="separate"/>
      </w:r>
      <w:r>
        <w:rPr>
          <w:rFonts w:hint="eastAsia" w:ascii="宋体" w:hAnsi="宋体"/>
          <w:color w:val="000000" w:themeColor="text1"/>
          <w:sz w:val="28"/>
          <w:highlight w:val="none"/>
          <w14:textFill>
            <w14:solidFill>
              <w14:schemeClr w14:val="tx1"/>
            </w14:solidFill>
          </w14:textFill>
        </w:rPr>
        <w:t>1</w:t>
      </w:r>
      <w:r>
        <w:rPr>
          <w:rFonts w:hint="eastAsia" w:ascii="宋体" w:hAnsi="宋体"/>
          <w:color w:val="000000" w:themeColor="text1"/>
          <w:sz w:val="28"/>
          <w:highlight w:val="none"/>
          <w14:textFill>
            <w14:solidFill>
              <w14:schemeClr w14:val="tx1"/>
            </w14:solidFill>
          </w14:textFill>
        </w:rPr>
        <w:fldChar w:fldCharType="end"/>
      </w:r>
      <w:r>
        <w:rPr>
          <w:rFonts w:hint="eastAsia" w:ascii="宋体" w:hAnsi="宋体"/>
          <w:color w:val="000000" w:themeColor="text1"/>
          <w:sz w:val="28"/>
          <w:highlight w:val="none"/>
          <w14:textFill>
            <w14:solidFill>
              <w14:schemeClr w14:val="tx1"/>
            </w14:solidFill>
          </w14:textFill>
        </w:rPr>
        <w:t>构件及相邻房间之间的空气声隔声性能达到现行国家标准《民用建筑隔声设计规范》GB 50118中的低限标准限值和高要求标准限值的平均值，得3分；达到高要求标准限值，得5分；</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fldChar w:fldCharType="begin"/>
      </w:r>
      <w:r>
        <w:rPr>
          <w:rFonts w:hint="eastAsia" w:ascii="宋体" w:hAnsi="宋体"/>
          <w:color w:val="000000" w:themeColor="text1"/>
          <w:sz w:val="28"/>
          <w:highlight w:val="none"/>
          <w14:textFill>
            <w14:solidFill>
              <w14:schemeClr w14:val="tx1"/>
            </w14:solidFill>
          </w14:textFill>
        </w:rPr>
        <w:instrText xml:space="preserve"> = 2 \* Arabic </w:instrText>
      </w:r>
      <w:r>
        <w:rPr>
          <w:rFonts w:hint="eastAsia" w:ascii="宋体" w:hAnsi="宋体"/>
          <w:color w:val="000000" w:themeColor="text1"/>
          <w:sz w:val="28"/>
          <w:highlight w:val="none"/>
          <w14:textFill>
            <w14:solidFill>
              <w14:schemeClr w14:val="tx1"/>
            </w14:solidFill>
          </w14:textFill>
        </w:rPr>
        <w:fldChar w:fldCharType="separate"/>
      </w:r>
      <w:r>
        <w:rPr>
          <w:rFonts w:hint="eastAsia" w:ascii="宋体" w:hAnsi="宋体"/>
          <w:color w:val="000000" w:themeColor="text1"/>
          <w:sz w:val="28"/>
          <w:highlight w:val="none"/>
          <w14:textFill>
            <w14:solidFill>
              <w14:schemeClr w14:val="tx1"/>
            </w14:solidFill>
          </w14:textFill>
        </w:rPr>
        <w:t>2</w:t>
      </w:r>
      <w:r>
        <w:rPr>
          <w:rFonts w:hint="eastAsia" w:ascii="宋体" w:hAnsi="宋体"/>
          <w:color w:val="000000" w:themeColor="text1"/>
          <w:sz w:val="28"/>
          <w:highlight w:val="none"/>
          <w14:textFill>
            <w14:solidFill>
              <w14:schemeClr w14:val="tx1"/>
            </w14:solidFill>
          </w14:textFill>
        </w:rPr>
        <w:fldChar w:fldCharType="end"/>
      </w:r>
      <w:r>
        <w:rPr>
          <w:rFonts w:hint="eastAsia" w:ascii="宋体" w:hAnsi="宋体"/>
          <w:color w:val="000000" w:themeColor="text1"/>
          <w:sz w:val="28"/>
          <w:highlight w:val="none"/>
          <w14:textFill>
            <w14:solidFill>
              <w14:schemeClr w14:val="tx1"/>
            </w14:solidFill>
          </w14:textFill>
        </w:rPr>
        <w:t>楼板的撞击声隔声性能达到现行国家标准《民用建筑隔声设计规范》GB 50118中的低限标准限值和高要求标准限值的平均值，得</w:t>
      </w:r>
      <w:r>
        <w:rPr>
          <w:rFonts w:ascii="宋体" w:hAnsi="宋体"/>
          <w:color w:val="000000" w:themeColor="text1"/>
          <w:sz w:val="28"/>
          <w:highlight w:val="none"/>
          <w14:textFill>
            <w14:solidFill>
              <w14:schemeClr w14:val="tx1"/>
            </w14:solidFill>
          </w14:textFill>
        </w:rPr>
        <w:t>3</w:t>
      </w:r>
      <w:r>
        <w:rPr>
          <w:rFonts w:hint="eastAsia" w:ascii="宋体" w:hAnsi="宋体"/>
          <w:color w:val="000000" w:themeColor="text1"/>
          <w:sz w:val="28"/>
          <w:highlight w:val="none"/>
          <w14:textFill>
            <w14:solidFill>
              <w14:schemeClr w14:val="tx1"/>
            </w14:solidFill>
          </w14:textFill>
        </w:rPr>
        <w:t>分；达到高要求标准限值，得</w:t>
      </w:r>
      <w:r>
        <w:rPr>
          <w:rFonts w:ascii="宋体" w:hAnsi="宋体"/>
          <w:color w:val="000000" w:themeColor="text1"/>
          <w:sz w:val="28"/>
          <w:highlight w:val="none"/>
          <w14:textFill>
            <w14:solidFill>
              <w14:schemeClr w14:val="tx1"/>
            </w14:solidFill>
          </w14:textFill>
        </w:rPr>
        <w:t>5</w:t>
      </w:r>
      <w:r>
        <w:rPr>
          <w:rFonts w:hint="eastAsia" w:ascii="宋体" w:hAnsi="宋体"/>
          <w:color w:val="000000" w:themeColor="text1"/>
          <w:sz w:val="28"/>
          <w:highlight w:val="none"/>
          <w14:textFill>
            <w14:solidFill>
              <w14:schemeClr w14:val="tx1"/>
            </w14:solidFill>
          </w14:textFill>
        </w:rPr>
        <w:t>分。”</w:t>
      </w:r>
    </w:p>
    <w:p>
      <w:pPr>
        <w:pStyle w:val="5"/>
        <w:spacing w:line="360" w:lineRule="auto"/>
        <w:rPr>
          <w:color w:val="000000" w:themeColor="text1"/>
          <w:sz w:val="28"/>
          <w:highlight w:val="none"/>
          <w14:textFill>
            <w14:solidFill>
              <w14:schemeClr w14:val="tx1"/>
            </w14:solidFill>
          </w14:textFill>
        </w:rPr>
      </w:pPr>
      <w:bookmarkStart w:id="38" w:name="_Toc15828"/>
      <w:bookmarkStart w:id="39" w:name="_Toc21138"/>
      <w:bookmarkStart w:id="40" w:name="_Toc495911837"/>
      <w:bookmarkStart w:id="41" w:name="_Toc531946329"/>
      <w:bookmarkStart w:id="42" w:name="_Toc27426_WPSOffice_Level2"/>
      <w:bookmarkStart w:id="43" w:name="_Toc531946303"/>
      <w:r>
        <w:rPr>
          <w:rFonts w:hint="eastAsia"/>
          <w:color w:val="000000" w:themeColor="text1"/>
          <w:sz w:val="28"/>
          <w:highlight w:val="none"/>
          <w14:textFill>
            <w14:solidFill>
              <w14:schemeClr w14:val="tx1"/>
            </w14:solidFill>
          </w14:textFill>
        </w:rPr>
        <w:t>室内背景噪声要求</w:t>
      </w:r>
      <w:bookmarkEnd w:id="38"/>
      <w:bookmarkEnd w:id="39"/>
      <w:bookmarkEnd w:id="40"/>
      <w:bookmarkEnd w:id="41"/>
      <w:bookmarkEnd w:id="42"/>
      <w:bookmarkEnd w:id="43"/>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《绿色建筑评价标准》</w:t>
      </w:r>
      <w:r>
        <w:rPr>
          <w:rFonts w:ascii="宋体" w:hAnsi="宋体"/>
          <w:color w:val="000000" w:themeColor="text1"/>
          <w:sz w:val="28"/>
          <w:highlight w:val="none"/>
          <w14:textFill>
            <w14:solidFill>
              <w14:schemeClr w14:val="tx1"/>
            </w14:solidFill>
          </w14:textFill>
        </w:rPr>
        <w:t>GB/T 50378-2019</w:t>
      </w:r>
      <w:r>
        <w:rPr>
          <w:rFonts w:hint="eastAsia" w:ascii="宋体" w:hAnsi="宋体"/>
          <w:color w:val="000000" w:themeColor="text1"/>
          <w:sz w:val="28"/>
          <w:highlight w:val="none"/>
          <w14:textFill>
            <w14:solidFill>
              <w14:schemeClr w14:val="tx1"/>
            </w14:solidFill>
          </w14:textFill>
        </w:rPr>
        <w:t>第</w:t>
      </w:r>
      <w:r>
        <w:rPr>
          <w:rFonts w:ascii="宋体" w:hAnsi="宋体"/>
          <w:color w:val="000000" w:themeColor="text1"/>
          <w:sz w:val="28"/>
          <w:highlight w:val="none"/>
          <w14:textFill>
            <w14:solidFill>
              <w14:schemeClr w14:val="tx1"/>
            </w14:solidFill>
          </w14:textFill>
        </w:rPr>
        <w:t>5</w:t>
      </w:r>
      <w:r>
        <w:rPr>
          <w:rFonts w:hint="eastAsia" w:ascii="宋体" w:hAnsi="宋体"/>
          <w:color w:val="000000" w:themeColor="text1"/>
          <w:sz w:val="28"/>
          <w:highlight w:val="none"/>
          <w14:textFill>
            <w14:solidFill>
              <w14:schemeClr w14:val="tx1"/>
            </w14:solidFill>
          </w14:textFill>
        </w:rPr>
        <w:t>.</w:t>
      </w:r>
      <w:r>
        <w:rPr>
          <w:rFonts w:ascii="宋体" w:hAnsi="宋体"/>
          <w:color w:val="000000" w:themeColor="text1"/>
          <w:sz w:val="28"/>
          <w:highlight w:val="none"/>
          <w14:textFill>
            <w14:solidFill>
              <w14:schemeClr w14:val="tx1"/>
            </w14:solidFill>
          </w14:textFill>
        </w:rPr>
        <w:t>1</w:t>
      </w:r>
      <w:r>
        <w:rPr>
          <w:rFonts w:hint="eastAsia" w:ascii="宋体" w:hAnsi="宋体"/>
          <w:color w:val="000000" w:themeColor="text1"/>
          <w:sz w:val="28"/>
          <w:highlight w:val="none"/>
          <w14:textFill>
            <w14:solidFill>
              <w14:schemeClr w14:val="tx1"/>
            </w14:solidFill>
          </w14:textFill>
        </w:rPr>
        <w:t>.</w:t>
      </w:r>
      <w:r>
        <w:rPr>
          <w:rFonts w:ascii="宋体" w:hAnsi="宋体"/>
          <w:color w:val="000000" w:themeColor="text1"/>
          <w:sz w:val="28"/>
          <w:highlight w:val="none"/>
          <w14:textFill>
            <w14:solidFill>
              <w14:schemeClr w14:val="tx1"/>
            </w14:solidFill>
          </w14:textFill>
        </w:rPr>
        <w:t>4</w:t>
      </w:r>
      <w:r>
        <w:rPr>
          <w:rFonts w:hint="eastAsia" w:ascii="宋体" w:hAnsi="宋体"/>
          <w:color w:val="000000" w:themeColor="text1"/>
          <w:sz w:val="28"/>
          <w:highlight w:val="none"/>
          <w14:textFill>
            <w14:solidFill>
              <w14:schemeClr w14:val="tx1"/>
            </w14:solidFill>
          </w14:textFill>
        </w:rPr>
        <w:t>条、第</w:t>
      </w:r>
      <w:r>
        <w:rPr>
          <w:rFonts w:ascii="宋体" w:hAnsi="宋体"/>
          <w:color w:val="000000" w:themeColor="text1"/>
          <w:sz w:val="28"/>
          <w:highlight w:val="none"/>
          <w14:textFill>
            <w14:solidFill>
              <w14:schemeClr w14:val="tx1"/>
            </w14:solidFill>
          </w14:textFill>
        </w:rPr>
        <w:t>5</w:t>
      </w:r>
      <w:r>
        <w:rPr>
          <w:rFonts w:hint="eastAsia" w:ascii="宋体" w:hAnsi="宋体"/>
          <w:color w:val="000000" w:themeColor="text1"/>
          <w:sz w:val="28"/>
          <w:highlight w:val="none"/>
          <w14:textFill>
            <w14:solidFill>
              <w14:schemeClr w14:val="tx1"/>
            </w14:solidFill>
          </w14:textFill>
        </w:rPr>
        <w:t>.2.</w:t>
      </w:r>
      <w:r>
        <w:rPr>
          <w:rFonts w:ascii="宋体" w:hAnsi="宋体"/>
          <w:color w:val="000000" w:themeColor="text1"/>
          <w:sz w:val="28"/>
          <w:highlight w:val="none"/>
          <w14:textFill>
            <w14:solidFill>
              <w14:schemeClr w14:val="tx1"/>
            </w14:solidFill>
          </w14:textFill>
        </w:rPr>
        <w:t>6</w:t>
      </w:r>
      <w:r>
        <w:rPr>
          <w:rFonts w:hint="eastAsia" w:ascii="宋体" w:hAnsi="宋体"/>
          <w:color w:val="000000" w:themeColor="text1"/>
          <w:sz w:val="28"/>
          <w:highlight w:val="none"/>
          <w14:textFill>
            <w14:solidFill>
              <w14:schemeClr w14:val="tx1"/>
            </w14:solidFill>
          </w14:textFill>
        </w:rPr>
        <w:t>条对建筑室内噪声级提出了明确的相关要求。</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ascii="宋体" w:hAnsi="宋体"/>
          <w:color w:val="000000" w:themeColor="text1"/>
          <w:sz w:val="28"/>
          <w:highlight w:val="none"/>
          <w14:textFill>
            <w14:solidFill>
              <w14:schemeClr w14:val="tx1"/>
            </w14:solidFill>
          </w14:textFill>
        </w:rPr>
        <w:t>5.1.4</w:t>
      </w:r>
      <w:r>
        <w:rPr>
          <w:rFonts w:hint="eastAsia" w:ascii="宋体" w:hAnsi="宋体"/>
          <w:color w:val="000000" w:themeColor="text1"/>
          <w:sz w:val="28"/>
          <w:highlight w:val="none"/>
          <w14:textFill>
            <w14:solidFill>
              <w14:schemeClr w14:val="tx1"/>
            </w14:solidFill>
          </w14:textFill>
        </w:rPr>
        <w:t>主要功能房间的室内噪声级应满足现行国家标准《民用建筑隔声设计规范》</w:t>
      </w:r>
      <w:r>
        <w:rPr>
          <w:rFonts w:ascii="宋体" w:hAnsi="宋体"/>
          <w:color w:val="000000" w:themeColor="text1"/>
          <w:sz w:val="28"/>
          <w:highlight w:val="none"/>
          <w14:textFill>
            <w14:solidFill>
              <w14:schemeClr w14:val="tx1"/>
            </w14:solidFill>
          </w14:textFill>
        </w:rPr>
        <w:t>GB50118</w:t>
      </w:r>
      <w:r>
        <w:rPr>
          <w:rFonts w:hint="eastAsia" w:ascii="宋体" w:hAnsi="宋体"/>
          <w:color w:val="000000" w:themeColor="text1"/>
          <w:sz w:val="28"/>
          <w:highlight w:val="none"/>
          <w14:textFill>
            <w14:solidFill>
              <w14:schemeClr w14:val="tx1"/>
            </w14:solidFill>
          </w14:textFill>
        </w:rPr>
        <w:t>中的低限要求。</w:t>
      </w:r>
    </w:p>
    <w:p>
      <w:pPr>
        <w:spacing w:line="360" w:lineRule="auto"/>
        <w:ind w:firstLine="560" w:firstLineChars="200"/>
        <w:rPr>
          <w:rFonts w:ascii="宋体" w:hAnsi="宋体"/>
          <w:color w:val="000000" w:themeColor="text1"/>
          <w:sz w:val="28"/>
          <w:highlight w:val="none"/>
          <w14:textFill>
            <w14:solidFill>
              <w14:schemeClr w14:val="tx1"/>
            </w14:solidFill>
          </w14:textFill>
        </w:rPr>
      </w:pPr>
      <w:r>
        <w:rPr>
          <w:rFonts w:ascii="宋体" w:hAnsi="宋体"/>
          <w:color w:val="000000" w:themeColor="text1"/>
          <w:sz w:val="28"/>
          <w:highlight w:val="none"/>
          <w14:textFill>
            <w14:solidFill>
              <w14:schemeClr w14:val="tx1"/>
            </w14:solidFill>
          </w14:textFill>
        </w:rPr>
        <w:t>5.2.6</w:t>
      </w:r>
      <w:r>
        <w:rPr>
          <w:rFonts w:hint="eastAsia" w:ascii="宋体" w:hAnsi="宋体"/>
          <w:color w:val="000000" w:themeColor="text1"/>
          <w:sz w:val="28"/>
          <w:highlight w:val="none"/>
          <w14:textFill>
            <w14:solidFill>
              <w14:schemeClr w14:val="tx1"/>
            </w14:solidFill>
          </w14:textFill>
        </w:rPr>
        <w:t>主要功能房间室内噪声级要求提升，评分总值为</w:t>
      </w:r>
      <w:r>
        <w:rPr>
          <w:rFonts w:ascii="宋体" w:hAnsi="宋体"/>
          <w:color w:val="000000" w:themeColor="text1"/>
          <w:sz w:val="28"/>
          <w:highlight w:val="none"/>
          <w14:textFill>
            <w14:solidFill>
              <w14:schemeClr w14:val="tx1"/>
            </w14:solidFill>
          </w14:textFill>
        </w:rPr>
        <w:t>8</w:t>
      </w:r>
      <w:r>
        <w:rPr>
          <w:rFonts w:hint="eastAsia" w:ascii="宋体" w:hAnsi="宋体"/>
          <w:color w:val="000000" w:themeColor="text1"/>
          <w:sz w:val="28"/>
          <w:highlight w:val="none"/>
          <w14:textFill>
            <w14:solidFill>
              <w14:schemeClr w14:val="tx1"/>
            </w14:solidFill>
          </w14:textFill>
        </w:rPr>
        <w:t>分。噪声级达到现行国家标准《民用建筑隔声设计规范》</w:t>
      </w:r>
      <w:r>
        <w:rPr>
          <w:rFonts w:ascii="宋体" w:hAnsi="宋体"/>
          <w:color w:val="000000" w:themeColor="text1"/>
          <w:sz w:val="28"/>
          <w:highlight w:val="none"/>
          <w14:textFill>
            <w14:solidFill>
              <w14:schemeClr w14:val="tx1"/>
            </w14:solidFill>
          </w14:textFill>
        </w:rPr>
        <w:t>GB50118</w:t>
      </w:r>
      <w:r>
        <w:rPr>
          <w:rFonts w:hint="eastAsia" w:ascii="宋体" w:hAnsi="宋体"/>
          <w:color w:val="000000" w:themeColor="text1"/>
          <w:sz w:val="28"/>
          <w:highlight w:val="none"/>
          <w14:textFill>
            <w14:solidFill>
              <w14:schemeClr w14:val="tx1"/>
            </w14:solidFill>
          </w14:textFill>
        </w:rPr>
        <w:t>中的低限标准和高要求标准限值的平均值，得</w:t>
      </w:r>
      <w:r>
        <w:rPr>
          <w:rFonts w:ascii="宋体" w:hAnsi="宋体"/>
          <w:color w:val="000000" w:themeColor="text1"/>
          <w:sz w:val="28"/>
          <w:highlight w:val="none"/>
          <w14:textFill>
            <w14:solidFill>
              <w14:schemeClr w14:val="tx1"/>
            </w14:solidFill>
          </w14:textFill>
        </w:rPr>
        <w:t>4</w:t>
      </w:r>
      <w:r>
        <w:rPr>
          <w:rFonts w:hint="eastAsia" w:ascii="宋体" w:hAnsi="宋体"/>
          <w:color w:val="000000" w:themeColor="text1"/>
          <w:sz w:val="28"/>
          <w:highlight w:val="none"/>
          <w14:textFill>
            <w14:solidFill>
              <w14:schemeClr w14:val="tx1"/>
            </w14:solidFill>
          </w14:textFill>
        </w:rPr>
        <w:t>分；达到高要求标准限值，得</w:t>
      </w:r>
      <w:r>
        <w:rPr>
          <w:rFonts w:ascii="宋体" w:hAnsi="宋体"/>
          <w:color w:val="000000" w:themeColor="text1"/>
          <w:sz w:val="28"/>
          <w:highlight w:val="none"/>
          <w14:textFill>
            <w14:solidFill>
              <w14:schemeClr w14:val="tx1"/>
            </w14:solidFill>
          </w14:textFill>
        </w:rPr>
        <w:t>8</w:t>
      </w:r>
      <w:r>
        <w:rPr>
          <w:rFonts w:hint="eastAsia" w:ascii="宋体" w:hAnsi="宋体"/>
          <w:color w:val="000000" w:themeColor="text1"/>
          <w:sz w:val="28"/>
          <w:highlight w:val="none"/>
          <w14:textFill>
            <w14:solidFill>
              <w14:schemeClr w14:val="tx1"/>
            </w14:solidFill>
          </w14:textFill>
        </w:rPr>
        <w:t>分。</w:t>
      </w:r>
    </w:p>
    <w:p>
      <w:pPr>
        <w:spacing w:line="360" w:lineRule="auto"/>
        <w:ind w:firstLine="560" w:firstLineChars="20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14:textFill>
            <w14:solidFill>
              <w14:schemeClr w14:val="tx1"/>
            </w14:solidFill>
          </w14:textFill>
        </w:rPr>
        <w:t>本项目</w:t>
      </w:r>
      <w:r>
        <w:rPr>
          <w:rFonts w:hint="eastAsia"/>
          <w:color w:val="000000" w:themeColor="text1"/>
          <w:sz w:val="28"/>
          <w:szCs w:val="24"/>
          <w:highlight w:val="none"/>
          <w:lang w:val="en-US"/>
          <w14:textFill>
            <w14:solidFill>
              <w14:schemeClr w14:val="tx1"/>
            </w14:solidFill>
          </w14:textFill>
        </w:rPr>
        <w:t>对各主要功能房间室内背景噪声值进行计算。</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本报告材料吸声系数、隔声量，均引自《建筑声学设计手册》（中国建筑工业出版社出版，中国建筑科学研究院建筑物理研究所，1987.07）、《建筑设计资料集》（第二版），中国建筑工业出版社出版，《建筑设计资料集》编委会，1994.06）、《建筑隔声与吸声构造》08J931。</w:t>
      </w:r>
    </w:p>
    <w:p>
      <w:pPr>
        <w:pStyle w:val="3"/>
        <w:spacing w:line="360" w:lineRule="auto"/>
        <w:rPr>
          <w:color w:val="000000" w:themeColor="text1"/>
          <w:highlight w:val="none"/>
          <w14:textFill>
            <w14:solidFill>
              <w14:schemeClr w14:val="tx1"/>
            </w14:solidFill>
          </w14:textFill>
        </w:rPr>
      </w:pPr>
      <w:bookmarkStart w:id="44" w:name="_Toc8296"/>
      <w:bookmarkStart w:id="45" w:name="_Toc26336"/>
      <w:bookmarkStart w:id="46" w:name="_Toc4814"/>
      <w:r>
        <w:rPr>
          <w:rFonts w:hint="eastAsia"/>
          <w:color w:val="000000" w:themeColor="text1"/>
          <w:highlight w:val="none"/>
          <w14:textFill>
            <w14:solidFill>
              <w14:schemeClr w14:val="tx1"/>
            </w14:solidFill>
          </w14:textFill>
        </w:rPr>
        <w:t>建筑围护结构构件隔声计算</w:t>
      </w:r>
      <w:bookmarkEnd w:id="44"/>
      <w:bookmarkEnd w:id="45"/>
    </w:p>
    <w:p>
      <w:pPr>
        <w:pStyle w:val="5"/>
        <w:spacing w:line="360" w:lineRule="auto"/>
        <w:rPr>
          <w:color w:val="000000" w:themeColor="text1"/>
          <w:sz w:val="28"/>
          <w:highlight w:val="none"/>
          <w14:textFill>
            <w14:solidFill>
              <w14:schemeClr w14:val="tx1"/>
            </w14:solidFill>
          </w14:textFill>
        </w:rPr>
      </w:pPr>
      <w:bookmarkStart w:id="47" w:name="_Toc21144"/>
      <w:bookmarkStart w:id="48" w:name="_Toc30396"/>
      <w:r>
        <w:rPr>
          <w:rFonts w:hint="eastAsia"/>
          <w:color w:val="000000" w:themeColor="text1"/>
          <w:sz w:val="28"/>
          <w:highlight w:val="none"/>
          <w14:textFill>
            <w14:solidFill>
              <w14:schemeClr w14:val="tx1"/>
            </w14:solidFill>
          </w14:textFill>
        </w:rPr>
        <w:t>理论依据</w:t>
      </w:r>
      <w:bookmarkEnd w:id="46"/>
      <w:bookmarkEnd w:id="47"/>
      <w:bookmarkEnd w:id="48"/>
    </w:p>
    <w:p>
      <w:pPr>
        <w:pStyle w:val="6"/>
        <w:spacing w:line="360" w:lineRule="auto"/>
        <w:rPr>
          <w:color w:val="000000" w:themeColor="text1"/>
          <w:sz w:val="28"/>
          <w:highlight w:val="none"/>
          <w14:textFill>
            <w14:solidFill>
              <w14:schemeClr w14:val="tx1"/>
            </w14:solidFill>
          </w14:textFill>
        </w:rPr>
      </w:pPr>
      <w:bookmarkStart w:id="49" w:name="_Toc18752"/>
      <w:bookmarkStart w:id="50" w:name="_Toc12277"/>
      <w:r>
        <w:rPr>
          <w:color w:val="000000" w:themeColor="text1"/>
          <w:sz w:val="28"/>
          <w:highlight w:val="none"/>
          <w14:textFill>
            <w14:solidFill>
              <w14:schemeClr w14:val="tx1"/>
            </w14:solidFill>
          </w14:textFill>
        </w:rPr>
        <w:t>理论依据</w:t>
      </w:r>
      <w:bookmarkEnd w:id="49"/>
      <w:bookmarkEnd w:id="50"/>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声的传播途径大致可归纳为两大类</w:t>
      </w:r>
      <w:r>
        <w:rPr>
          <w:rFonts w:hint="eastAsia"/>
          <w:color w:val="000000" w:themeColor="text1"/>
          <w:sz w:val="28"/>
          <w:highlight w:val="none"/>
          <w14:textFill>
            <w14:solidFill>
              <w14:schemeClr w14:val="tx1"/>
            </w14:solidFill>
          </w14:textFill>
        </w:rPr>
        <w:t>：</w:t>
      </w:r>
      <w:r>
        <w:rPr>
          <w:color w:val="000000" w:themeColor="text1"/>
          <w:sz w:val="28"/>
          <w:highlight w:val="none"/>
          <w14:textFill>
            <w14:solidFill>
              <w14:schemeClr w14:val="tx1"/>
            </w14:solidFill>
          </w14:textFill>
        </w:rPr>
        <w:t>通过空气的传声和通过建筑结构的固体传声。在建筑声学中，把凡是通过空气传播而来的声音称为空气声，例如汽车声、飞机声等；把凡是通过建筑结构传播的由机械振动和物体撞击等引起的声音，称为固体声，如脚步声、撞击声等。建筑构件隔绝的若是空气声，则称为空气声隔绝；若隔绝的是固体声，则称为固体声隔绝。声音在房屋建筑中的传播，有许多不同的途径，如通过墙壁、门窗、楼板、基础及各种设备管道等。</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在工程上，常用隔声量及来表示构件对空气声的隔绝能力，它与构件透射系数有如下关系：</w:t>
      </w:r>
    </w:p>
    <w:p>
      <w:pPr>
        <w:spacing w:line="360" w:lineRule="auto"/>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25" o:spt="75" type="#_x0000_t75" style="height:31pt;width:56.9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position w:val="-6"/>
          <w:sz w:val="28"/>
          <w:highlight w:val="none"/>
          <w14:textFill>
            <w14:solidFill>
              <w14:schemeClr w14:val="tx1"/>
            </w14:solidFill>
          </w14:textFill>
        </w:rPr>
        <w:object>
          <v:shape id="_x0000_i1026" o:spt="75" type="#_x0000_t75" style="height:15.05pt;width:20.9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eastAsia"/>
          <w:color w:val="000000" w:themeColor="text1"/>
          <w:sz w:val="28"/>
          <w:highlight w:val="none"/>
          <w14:textFill>
            <w14:solidFill>
              <w14:schemeClr w14:val="tx1"/>
            </w14:solidFill>
          </w14:textFill>
        </w:rPr>
        <w:t>为构件的透射系数。</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为构件的透射系数。</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可以看出，构件的透射系数越大，则隔声量越小，隔声性能越差；反之，透射系数越小，则隔声量越大，隔声性能越好。</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隔声构件按照不同的结构形式，有不同的隔声特性。</w:t>
      </w:r>
      <w:r>
        <w:rPr>
          <w:rFonts w:hint="eastAsia"/>
          <w:color w:val="000000" w:themeColor="text1"/>
          <w:sz w:val="28"/>
          <w:highlight w:val="none"/>
          <w14:textFill>
            <w14:solidFill>
              <w14:schemeClr w14:val="tx1"/>
            </w14:solidFill>
          </w14:textFill>
        </w:rPr>
        <w:t>对于隔墙（分户墙）设计上的措施，理论上采用高声阻、刚性、匀质密实的围护结构，如砖、混凝土等，其质量越大则振动越小，惰性抗力越大，使传声减小到最低程度，因而，密实而重质的材料隔声性能较好。</w:t>
      </w:r>
    </w:p>
    <w:p>
      <w:pPr>
        <w:pStyle w:val="6"/>
        <w:spacing w:line="360" w:lineRule="auto"/>
        <w:rPr>
          <w:color w:val="000000" w:themeColor="text1"/>
          <w:sz w:val="28"/>
          <w:highlight w:val="none"/>
          <w14:textFill>
            <w14:solidFill>
              <w14:schemeClr w14:val="tx1"/>
            </w14:solidFill>
          </w14:textFill>
        </w:rPr>
      </w:pPr>
      <w:bookmarkStart w:id="51" w:name="_Toc8743"/>
      <w:bookmarkStart w:id="52" w:name="_Toc9983"/>
      <w:r>
        <w:rPr>
          <w:rFonts w:hint="eastAsia"/>
          <w:color w:val="000000" w:themeColor="text1"/>
          <w:sz w:val="28"/>
          <w:highlight w:val="none"/>
          <w14:textFill>
            <w14:solidFill>
              <w14:schemeClr w14:val="tx1"/>
            </w14:solidFill>
          </w14:textFill>
        </w:rPr>
        <w:t>单层匀质密实墙的空气声隔绝</w:t>
      </w:r>
      <w:bookmarkEnd w:id="51"/>
      <w:bookmarkEnd w:id="52"/>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单层匀质密实墙的隔声性能和入射声波的频率有关，还取决于墙本身的面密度、劲度、材料的内阻尼，以及墙的边界条件等因素。典型的单层匀质密实墙的隔声频率特性曲线如图</w:t>
      </w:r>
      <w:r>
        <w:rPr>
          <w:rFonts w:hint="eastAsia"/>
          <w:color w:val="000000" w:themeColor="text1"/>
          <w:sz w:val="28"/>
          <w:highlight w:val="none"/>
          <w14:textFill>
            <w14:solidFill>
              <w14:schemeClr w14:val="tx1"/>
            </w14:solidFill>
          </w14:textFill>
        </w:rPr>
        <w:t>2</w:t>
      </w:r>
      <w:r>
        <w:rPr>
          <w:color w:val="000000" w:themeColor="text1"/>
          <w:sz w:val="28"/>
          <w:highlight w:val="none"/>
          <w14:textFill>
            <w14:solidFill>
              <w14:schemeClr w14:val="tx1"/>
            </w14:solidFill>
          </w14:textFill>
        </w:rPr>
        <w:t>所示。</w:t>
      </w:r>
    </w:p>
    <w:p>
      <w:pPr>
        <w:keepNext/>
        <w:spacing w:line="360" w:lineRule="auto"/>
        <w:jc w:val="center"/>
        <w:rPr>
          <w:color w:val="000000" w:themeColor="text1"/>
          <w:sz w:val="28"/>
          <w:highlight w:val="none"/>
          <w14:textFill>
            <w14:solidFill>
              <w14:schemeClr w14:val="tx1"/>
            </w14:solidFill>
          </w14:textFill>
        </w:rPr>
      </w:pPr>
      <w:r>
        <w:rPr>
          <w:color w:val="000000" w:themeColor="text1"/>
          <w:sz w:val="28"/>
          <w:highlight w:val="none"/>
          <w:lang w:val="en-US"/>
          <w14:textFill>
            <w14:solidFill>
              <w14:schemeClr w14:val="tx1"/>
            </w14:solidFill>
          </w14:textFill>
        </w:rPr>
        <w:drawing>
          <wp:inline distT="0" distB="0" distL="0" distR="0">
            <wp:extent cx="5253355" cy="2113280"/>
            <wp:effectExtent l="0" t="0" r="0" b="1270"/>
            <wp:docPr id="16"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
                    <pic:cNvPicPr>
                      <a:picLocks noChangeAspect="1" noChangeArrowheads="1"/>
                    </pic:cNvPicPr>
                  </pic:nvPicPr>
                  <pic:blipFill>
                    <a:blip r:embed="rId11">
                      <a:extLst>
                        <a:ext uri="{28A0092B-C50C-407E-A947-70E740481C1C}">
                          <a14:useLocalDpi xmlns:a14="http://schemas.microsoft.com/office/drawing/2010/main" val="0"/>
                        </a:ext>
                      </a:extLst>
                    </a:blip>
                    <a:srcRect l="-38206" t="5302" r="-40199" b="12878"/>
                    <a:stretch>
                      <a:fillRect/>
                    </a:stretch>
                  </pic:blipFill>
                  <pic:spPr>
                    <a:xfrm>
                      <a:off x="0" y="0"/>
                      <a:ext cx="5253355" cy="2113280"/>
                    </a:xfrm>
                    <a:prstGeom prst="rect">
                      <a:avLst/>
                    </a:prstGeom>
                    <a:noFill/>
                    <a:ln>
                      <a:noFill/>
                    </a:ln>
                  </pic:spPr>
                </pic:pic>
              </a:graphicData>
            </a:graphic>
          </wp:inline>
        </w:drawing>
      </w:r>
    </w:p>
    <w:p>
      <w:pPr>
        <w:pStyle w:val="59"/>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图</w:t>
      </w:r>
      <w:r>
        <w:rPr>
          <w:color w:val="000000" w:themeColor="text1"/>
          <w:sz w:val="28"/>
          <w:highlight w:val="none"/>
          <w14:textFill>
            <w14:solidFill>
              <w14:schemeClr w14:val="tx1"/>
            </w14:solidFill>
          </w14:textFill>
        </w:rPr>
        <w:fldChar w:fldCharType="begin"/>
      </w:r>
      <w:r>
        <w:rPr>
          <w:rFonts w:hint="eastAsia"/>
          <w:color w:val="000000" w:themeColor="text1"/>
          <w:sz w:val="28"/>
          <w:highlight w:val="none"/>
          <w14:textFill>
            <w14:solidFill>
              <w14:schemeClr w14:val="tx1"/>
            </w14:solidFill>
          </w14:textFill>
        </w:rPr>
        <w:instrText xml:space="preserve">SEQ 图 \* ARABIC</w:instrText>
      </w:r>
      <w:r>
        <w:rPr>
          <w:color w:val="000000" w:themeColor="text1"/>
          <w:sz w:val="28"/>
          <w:highlight w:val="none"/>
          <w14:textFill>
            <w14:solidFill>
              <w14:schemeClr w14:val="tx1"/>
            </w14:solidFill>
          </w14:textFill>
        </w:rPr>
        <w:fldChar w:fldCharType="separate"/>
      </w:r>
      <w:r>
        <w:rPr>
          <w:rFonts w:hint="eastAsia"/>
          <w:color w:val="000000" w:themeColor="text1"/>
          <w:sz w:val="28"/>
          <w:highlight w:val="none"/>
          <w14:textFill>
            <w14:solidFill>
              <w14:schemeClr w14:val="tx1"/>
            </w14:solidFill>
          </w14:textFill>
        </w:rPr>
        <w:t>1</w:t>
      </w:r>
      <w:r>
        <w:rPr>
          <w:color w:val="000000" w:themeColor="text1"/>
          <w:sz w:val="28"/>
          <w:highlight w:val="none"/>
          <w14:textFill>
            <w14:solidFill>
              <w14:schemeClr w14:val="tx1"/>
            </w14:solidFill>
          </w14:textFill>
        </w:rPr>
        <w:fldChar w:fldCharType="end"/>
      </w:r>
      <w:r>
        <w:rPr>
          <w:rFonts w:hint="eastAsia"/>
          <w:color w:val="000000" w:themeColor="text1"/>
          <w:sz w:val="28"/>
          <w:highlight w:val="none"/>
          <w14:textFill>
            <w14:solidFill>
              <w14:schemeClr w14:val="tx1"/>
            </w14:solidFill>
          </w14:textFill>
        </w:rPr>
        <w:t xml:space="preserve"> 单层匀质墙典型隔声频率特性曲线</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从</w:t>
      </w:r>
      <w:r>
        <w:rPr>
          <w:color w:val="000000" w:themeColor="text1"/>
          <w:sz w:val="28"/>
          <w:highlight w:val="none"/>
          <w14:textFill>
            <w14:solidFill>
              <w14:schemeClr w14:val="tx1"/>
            </w14:solidFill>
          </w14:textFill>
        </w:rPr>
        <w:t>图</w:t>
      </w:r>
      <w:r>
        <w:rPr>
          <w:rFonts w:hint="eastAsia"/>
          <w:color w:val="000000" w:themeColor="text1"/>
          <w:sz w:val="28"/>
          <w:highlight w:val="none"/>
          <w14:textFill>
            <w14:solidFill>
              <w14:schemeClr w14:val="tx1"/>
            </w14:solidFill>
          </w14:textFill>
        </w:rPr>
        <w:t>2可知，在不同频率时（低频、中频、高频），影响隔声性能的劲度、阻尼、质量控制现象。在很低的频率时，劲度起主要控制作用。隔声量频率的降低而增大。随着频率的增高，质量效应增大，在某些频率处，可能出现劲度和质量效应相抵消而产生的构件共振现象。</w:t>
      </w:r>
    </w:p>
    <w:p>
      <w:pPr>
        <w:pStyle w:val="6"/>
        <w:spacing w:line="360" w:lineRule="auto"/>
        <w:rPr>
          <w:color w:val="000000" w:themeColor="text1"/>
          <w:sz w:val="28"/>
          <w:highlight w:val="none"/>
          <w14:textFill>
            <w14:solidFill>
              <w14:schemeClr w14:val="tx1"/>
            </w14:solidFill>
          </w14:textFill>
        </w:rPr>
      </w:pPr>
      <w:bookmarkStart w:id="53" w:name="_Toc617"/>
      <w:bookmarkStart w:id="54" w:name="_Toc29517"/>
      <w:r>
        <w:rPr>
          <w:rFonts w:hint="eastAsia"/>
          <w:color w:val="000000" w:themeColor="text1"/>
          <w:sz w:val="28"/>
          <w:highlight w:val="none"/>
          <w14:textFill>
            <w14:solidFill>
              <w14:schemeClr w14:val="tx1"/>
            </w14:solidFill>
          </w14:textFill>
        </w:rPr>
        <w:t>多层复合板的设计要点</w:t>
      </w:r>
      <w:bookmarkEnd w:id="53"/>
      <w:bookmarkEnd w:id="54"/>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现在的节能建筑一般采取多层复合墙板达到节能保温的效果，这同时也可以增加墙体的隔声性能。多层复合板的设计要点如下：</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（1）多层复合板一般3～5层，在构造合理的条件下，相邻层间的材料尽量做成软硬结合形式。</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（2）提高薄板的阻尼有助于改善隔声量。如在薄钢板上粘贴超过板厚三倍左右的沥青玻璃纤维或麻丝之类材料，对消弱共振频率和吻合效应有显著作用。</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（3）多孔材料本身的隔声能力差，但当这些材料和坚实材料组成多层复合板时，在它的表面抹一层不透气的粉刷层或粘一层轻薄的材料时，则可提高它的隔声性能。如5 mm厚的木丝板仅有的18分贝左右的隔声量，单面粉刷后，隔声量提高到24分贝左右，双面粉刷后隔声量可提高到30分贝左右。几种隔声结构隔声性能的实测结果如3所示。</w:t>
      </w:r>
    </w:p>
    <w:p>
      <w:pPr>
        <w:keepNext/>
        <w:spacing w:line="360" w:lineRule="auto"/>
        <w:jc w:val="center"/>
        <w:rPr>
          <w:color w:val="000000" w:themeColor="text1"/>
          <w:sz w:val="28"/>
          <w:highlight w:val="none"/>
          <w14:textFill>
            <w14:solidFill>
              <w14:schemeClr w14:val="tx1"/>
            </w14:solidFill>
          </w14:textFill>
        </w:rPr>
      </w:pPr>
      <w:r>
        <w:rPr>
          <w:color w:val="000000" w:themeColor="text1"/>
          <w:sz w:val="28"/>
          <w:highlight w:val="none"/>
          <w:lang w:val="en-US"/>
          <w14:textFill>
            <w14:solidFill>
              <w14:schemeClr w14:val="tx1"/>
            </w14:solidFill>
          </w14:textFill>
        </w:rPr>
        <w:drawing>
          <wp:inline distT="0" distB="0" distL="0" distR="0">
            <wp:extent cx="5262245" cy="4184015"/>
            <wp:effectExtent l="0" t="0" r="1460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val="0"/>
                        </a:ext>
                      </a:extLst>
                    </a:blip>
                    <a:srcRect l="3125" t="29721" r="7031" b="22742"/>
                    <a:stretch>
                      <a:fillRect/>
                    </a:stretch>
                  </pic:blipFill>
                  <pic:spPr>
                    <a:xfrm>
                      <a:off x="0" y="0"/>
                      <a:ext cx="5262245" cy="4184015"/>
                    </a:xfrm>
                    <a:prstGeom prst="rect">
                      <a:avLst/>
                    </a:prstGeom>
                    <a:noFill/>
                    <a:ln>
                      <a:noFill/>
                    </a:ln>
                  </pic:spPr>
                </pic:pic>
              </a:graphicData>
            </a:graphic>
          </wp:inline>
        </w:drawing>
      </w:r>
    </w:p>
    <w:p>
      <w:pPr>
        <w:pStyle w:val="59"/>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图</w:t>
      </w:r>
      <w:r>
        <w:rPr>
          <w:color w:val="000000" w:themeColor="text1"/>
          <w:sz w:val="28"/>
          <w:highlight w:val="none"/>
          <w14:textFill>
            <w14:solidFill>
              <w14:schemeClr w14:val="tx1"/>
            </w14:solidFill>
          </w14:textFill>
        </w:rPr>
        <w:fldChar w:fldCharType="begin"/>
      </w:r>
      <w:r>
        <w:rPr>
          <w:rFonts w:hint="eastAsia"/>
          <w:color w:val="000000" w:themeColor="text1"/>
          <w:sz w:val="28"/>
          <w:highlight w:val="none"/>
          <w14:textFill>
            <w14:solidFill>
              <w14:schemeClr w14:val="tx1"/>
            </w14:solidFill>
          </w14:textFill>
        </w:rPr>
        <w:instrText xml:space="preserve">SEQ 图 \* ARABIC</w:instrText>
      </w:r>
      <w:r>
        <w:rPr>
          <w:color w:val="000000" w:themeColor="text1"/>
          <w:sz w:val="28"/>
          <w:highlight w:val="none"/>
          <w14:textFill>
            <w14:solidFill>
              <w14:schemeClr w14:val="tx1"/>
            </w14:solidFill>
          </w14:textFill>
        </w:rPr>
        <w:fldChar w:fldCharType="separate"/>
      </w:r>
      <w:r>
        <w:rPr>
          <w:rFonts w:hint="eastAsia"/>
          <w:color w:val="000000" w:themeColor="text1"/>
          <w:sz w:val="28"/>
          <w:highlight w:val="none"/>
          <w14:textFill>
            <w14:solidFill>
              <w14:schemeClr w14:val="tx1"/>
            </w14:solidFill>
          </w14:textFill>
        </w:rPr>
        <w:t>2</w:t>
      </w:r>
      <w:r>
        <w:rPr>
          <w:color w:val="000000" w:themeColor="text1"/>
          <w:sz w:val="28"/>
          <w:highlight w:val="none"/>
          <w14:textFill>
            <w14:solidFill>
              <w14:schemeClr w14:val="tx1"/>
            </w14:solidFill>
          </w14:textFill>
        </w:rPr>
        <w:fldChar w:fldCharType="end"/>
      </w:r>
      <w:r>
        <w:rPr>
          <w:rFonts w:hint="eastAsia"/>
          <w:color w:val="000000" w:themeColor="text1"/>
          <w:sz w:val="28"/>
          <w:highlight w:val="none"/>
          <w14:textFill>
            <w14:solidFill>
              <w14:schemeClr w14:val="tx1"/>
            </w14:solidFill>
          </w14:textFill>
        </w:rPr>
        <w:t xml:space="preserve"> 改善多孔材料的隔声特性实例</w:t>
      </w:r>
    </w:p>
    <w:p>
      <w:pPr>
        <w:pStyle w:val="6"/>
        <w:spacing w:line="360" w:lineRule="auto"/>
        <w:rPr>
          <w:color w:val="000000" w:themeColor="text1"/>
          <w:sz w:val="28"/>
          <w:highlight w:val="none"/>
          <w14:textFill>
            <w14:solidFill>
              <w14:schemeClr w14:val="tx1"/>
            </w14:solidFill>
          </w14:textFill>
        </w:rPr>
      </w:pPr>
      <w:bookmarkStart w:id="55" w:name="_Toc17593"/>
      <w:bookmarkStart w:id="56" w:name="_Toc9413"/>
      <w:r>
        <w:rPr>
          <w:rFonts w:hint="eastAsia"/>
          <w:color w:val="000000" w:themeColor="text1"/>
          <w:sz w:val="28"/>
          <w:highlight w:val="none"/>
          <w14:textFill>
            <w14:solidFill>
              <w14:schemeClr w14:val="tx1"/>
            </w14:solidFill>
          </w14:textFill>
        </w:rPr>
        <w:t>质量定律</w:t>
      </w:r>
      <w:bookmarkEnd w:id="55"/>
      <w:bookmarkEnd w:id="56"/>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如果把墙看成是无劲度、无阻尼的柔顺质量、且忽略墙的边界条件，则在声波垂直人射时，可从理论上得到墙的隔声量的计算式：</w:t>
      </w:r>
    </w:p>
    <w:p>
      <w:pPr>
        <w:spacing w:line="360" w:lineRule="auto"/>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27" o:spt="75" type="#_x0000_t75" style="height:46.05pt;width:118.0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式中</w:t>
      </w:r>
      <w:r>
        <w:rPr>
          <w:color w:val="000000" w:themeColor="text1"/>
          <w:position w:val="-6"/>
          <w:sz w:val="28"/>
          <w:highlight w:val="none"/>
          <w14:textFill>
            <w14:solidFill>
              <w14:schemeClr w14:val="tx1"/>
            </w14:solidFill>
          </w14:textFill>
        </w:rPr>
        <w:object>
          <v:shape id="_x0000_i1028" o:spt="75" type="#_x0000_t75" style="height:10.05pt;width:10.0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r>
        <w:rPr>
          <w:rFonts w:hint="eastAsia"/>
          <w:color w:val="000000" w:themeColor="text1"/>
          <w:sz w:val="28"/>
          <w:highlight w:val="none"/>
          <w14:textFill>
            <w14:solidFill>
              <w14:schemeClr w14:val="tx1"/>
            </w14:solidFill>
          </w14:textFill>
        </w:rPr>
        <w:t>——墙单位面积的质量，或称面密度，kg/ m</w:t>
      </w:r>
      <w:r>
        <w:rPr>
          <w:rFonts w:hint="eastAsia"/>
          <w:color w:val="000000" w:themeColor="text1"/>
          <w:sz w:val="28"/>
          <w:highlight w:val="none"/>
          <w:vertAlign w:val="superscript"/>
          <w14:textFill>
            <w14:solidFill>
              <w14:schemeClr w14:val="tx1"/>
            </w14:solidFill>
          </w14:textFill>
        </w:rPr>
        <w:t>2</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29" o:spt="75" type="#_x0000_t75" style="height:20.95pt;width:15.05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r>
        <w:rPr>
          <w:rFonts w:hint="eastAsia"/>
          <w:color w:val="000000" w:themeColor="text1"/>
          <w:sz w:val="28"/>
          <w:highlight w:val="none"/>
          <w14:textFill>
            <w14:solidFill>
              <w14:schemeClr w14:val="tx1"/>
            </w14:solidFill>
          </w14:textFill>
        </w:rPr>
        <w:t>——空气密度，kg/ m</w:t>
      </w:r>
      <w:r>
        <w:rPr>
          <w:rFonts w:hint="eastAsia"/>
          <w:color w:val="000000" w:themeColor="text1"/>
          <w:sz w:val="28"/>
          <w:highlight w:val="none"/>
          <w:vertAlign w:val="superscript"/>
          <w14:textFill>
            <w14:solidFill>
              <w14:schemeClr w14:val="tx1"/>
            </w14:solidFill>
          </w14:textFill>
        </w:rPr>
        <w:t>2</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30" o:spt="75" type="#_x0000_t75" style="height:10.05pt;width:10.05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r>
        <w:rPr>
          <w:rFonts w:hint="eastAsia"/>
          <w:color w:val="000000" w:themeColor="text1"/>
          <w:sz w:val="28"/>
          <w:highlight w:val="none"/>
          <w14:textFill>
            <w14:solidFill>
              <w14:schemeClr w14:val="tx1"/>
            </w14:solidFill>
          </w14:textFill>
        </w:rPr>
        <w:t>——空气中的声速，一般取344 m/s；</w:t>
      </w:r>
    </w:p>
    <w:p>
      <w:pPr>
        <w:pStyle w:val="16"/>
        <w:spacing w:line="360" w:lineRule="auto"/>
        <w:ind w:firstLine="56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31" o:spt="75" type="#_x0000_t75" style="height:15.05pt;width:10.05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r>
        <w:rPr>
          <w:rFonts w:hint="eastAsia"/>
          <w:color w:val="000000" w:themeColor="text1"/>
          <w:sz w:val="28"/>
          <w:highlight w:val="none"/>
          <w14:textFill>
            <w14:solidFill>
              <w14:schemeClr w14:val="tx1"/>
            </w14:solidFill>
          </w14:textFill>
        </w:rPr>
        <w:t>——入射声波的频率，Hz。</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一般情况下，</w:t>
      </w:r>
      <w:r>
        <w:rPr>
          <w:color w:val="000000" w:themeColor="text1"/>
          <w:position w:val="-10"/>
          <w:sz w:val="28"/>
          <w:highlight w:val="none"/>
          <w14:textFill>
            <w14:solidFill>
              <w14:schemeClr w14:val="tx1"/>
            </w14:solidFill>
          </w14:textFill>
        </w:rPr>
        <w:object>
          <v:shape id="_x0000_i1032" o:spt="75" type="#_x0000_t75" style="height:15.05pt;width:25.95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hint="eastAsia"/>
          <w:color w:val="000000" w:themeColor="text1"/>
          <w:sz w:val="28"/>
          <w:highlight w:val="none"/>
          <w14:textFill>
            <w14:solidFill>
              <w14:schemeClr w14:val="tx1"/>
            </w14:solidFill>
          </w14:textFill>
        </w:rPr>
        <w:t>＞</w:t>
      </w:r>
      <w:r>
        <w:rPr>
          <w:color w:val="000000" w:themeColor="text1"/>
          <w:position w:val="-12"/>
          <w:sz w:val="28"/>
          <w:highlight w:val="none"/>
          <w14:textFill>
            <w14:solidFill>
              <w14:schemeClr w14:val="tx1"/>
            </w14:solidFill>
          </w14:textFill>
        </w:rPr>
        <w:object>
          <v:shape id="_x0000_i1033" o:spt="75" type="#_x0000_t75" style="height:20.95pt;width:20.95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r>
        <w:rPr>
          <w:rFonts w:hint="eastAsia"/>
          <w:color w:val="000000" w:themeColor="text1"/>
          <w:sz w:val="28"/>
          <w:highlight w:val="none"/>
          <w14:textFill>
            <w14:solidFill>
              <w14:schemeClr w14:val="tx1"/>
            </w14:solidFill>
          </w14:textFill>
        </w:rPr>
        <w:t>,即</w:t>
      </w:r>
      <w:r>
        <w:rPr>
          <w:color w:val="000000" w:themeColor="text1"/>
          <w:position w:val="-30"/>
          <w:sz w:val="28"/>
          <w:highlight w:val="none"/>
          <w14:textFill>
            <w14:solidFill>
              <w14:schemeClr w14:val="tx1"/>
            </w14:solidFill>
          </w14:textFill>
        </w:rPr>
        <w:object>
          <v:shape id="_x0000_i1034" o:spt="75" type="#_x0000_t75" style="height:36pt;width:25.95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r>
        <w:rPr>
          <w:rFonts w:hint="eastAsia"/>
          <w:color w:val="000000" w:themeColor="text1"/>
          <w:sz w:val="28"/>
          <w:highlight w:val="none"/>
          <w14:textFill>
            <w14:solidFill>
              <w14:schemeClr w14:val="tx1"/>
            </w14:solidFill>
          </w14:textFill>
        </w:rPr>
        <w:t>＞1，上式便可简化为：</w:t>
      </w:r>
    </w:p>
    <w:p>
      <w:pPr>
        <w:spacing w:line="360" w:lineRule="auto"/>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35" o:spt="75" type="#_x0000_t75" style="height:36pt;width:82.0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p>
    <w:p>
      <w:pPr>
        <w:spacing w:line="360" w:lineRule="auto"/>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object>
          <v:shape id="_x0000_i1036" o:spt="75" type="#_x0000_t75" style="height:15.05pt;width:113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如果声波并非垂直入射，而是无规入射时，则墙的隔声量为：</w:t>
      </w:r>
    </w:p>
    <w:p>
      <w:pPr>
        <w:spacing w:line="360" w:lineRule="auto"/>
        <w:jc w:val="center"/>
        <w:rPr>
          <w:color w:val="000000" w:themeColor="text1"/>
          <w:sz w:val="28"/>
          <w:highlight w:val="none"/>
          <w14:textFill>
            <w14:solidFill>
              <w14:schemeClr w14:val="tx1"/>
            </w14:solidFill>
          </w14:textFill>
        </w:rPr>
      </w:pPr>
      <w:r>
        <w:rPr>
          <w:color w:val="000000" w:themeColor="text1"/>
          <w:position w:val="-12"/>
          <w:sz w:val="28"/>
          <w:highlight w:val="none"/>
          <w14:textFill>
            <w14:solidFill>
              <w14:schemeClr w14:val="tx1"/>
            </w14:solidFill>
          </w14:textFill>
        </w:rPr>
        <w:object>
          <v:shape id="_x0000_i1037" o:spt="75" type="#_x0000_t75" style="height:20.95pt;width:164.9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上面两个式子证明，墙的单位面积质量越大，则隔声效果越好，单位面积质量每增加一倍，隔声量可增加6 dB。这一规律称为“质量定律”。从上式还可以看出，入射声波的频率每增加一倍，隔声量也可以增加6 dB。表示了质量定律直线。</w:t>
      </w:r>
    </w:p>
    <w:p>
      <w:pPr>
        <w:keepNext/>
        <w:spacing w:line="360" w:lineRule="auto"/>
        <w:jc w:val="center"/>
        <w:rPr>
          <w:color w:val="000000" w:themeColor="text1"/>
          <w:sz w:val="28"/>
          <w:highlight w:val="none"/>
          <w14:textFill>
            <w14:solidFill>
              <w14:schemeClr w14:val="tx1"/>
            </w14:solidFill>
          </w14:textFill>
        </w:rPr>
      </w:pPr>
      <w:r>
        <w:rPr>
          <w:rFonts w:ascii="宋体" w:hAnsi="宋体"/>
          <w:color w:val="000000" w:themeColor="text1"/>
          <w:sz w:val="28"/>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4419600</wp:posOffset>
                </wp:positionH>
                <wp:positionV relativeFrom="paragraph">
                  <wp:posOffset>412750</wp:posOffset>
                </wp:positionV>
                <wp:extent cx="866775" cy="615315"/>
                <wp:effectExtent l="4445" t="5080" r="5080" b="8255"/>
                <wp:wrapNone/>
                <wp:docPr id="1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66775" cy="615315"/>
                        </a:xfrm>
                        <a:prstGeom prst="rect">
                          <a:avLst/>
                        </a:prstGeom>
                        <a:noFill/>
                        <a:ln w="9525">
                          <a:solidFill>
                            <a:srgbClr val="FFFFFF"/>
                          </a:solidFill>
                          <a:miter lim="800000"/>
                        </a:ln>
                        <a:effectLst/>
                      </wps:spPr>
                      <wps:txbx>
                        <w:txbxContent>
                          <w:p>
                            <w:r>
                              <w:rPr>
                                <w:rFonts w:hint="eastAsia"/>
                              </w:rPr>
                              <w:t>①正入射</w:t>
                            </w:r>
                          </w:p>
                          <w:p>
                            <w:r>
                              <w:rPr>
                                <w:rFonts w:hint="eastAsia"/>
                              </w:rPr>
                              <w:t>②现场入射</w:t>
                            </w:r>
                          </w:p>
                          <w:p>
                            <w:r>
                              <w:rPr>
                                <w:rFonts w:hint="eastAsia"/>
                              </w:rPr>
                              <w:t>③无规入射</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8" o:spid="_x0000_s1026" o:spt="202" type="#_x0000_t202" style="position:absolute;left:0pt;margin-left:348pt;margin-top:32.5pt;height:48.45pt;width:68.25pt;z-index:251694080;mso-width-relative:page;mso-height-relative:margin;mso-height-percent:200;" filled="f" stroked="t" coordsize="21600,21600" o:gfxdata="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7Is3LZAAAACgEAAA8AAAAAAAAAAQAgAAAAIgAAAGRycy9kb3ducmV2LnhtbFBLAQIUABQA&#10;AAAIAIdO4kDJi9AfKAIAAB4EAAAOAAAAAAAAAAEAIAAAACgBAABkcnMvZTJvRG9jLnhtbFBLBQYA&#10;AAAABgAGAFkBAADCBQAAAAA=&#10;">
                <v:fill on="f" focussize="0,0"/>
                <v:stroke color="#FFFFFF" miterlimit="8" joinstyle="miter"/>
                <v:imagedata o:title=""/>
                <o:lock v:ext="edit" aspectratio="f"/>
                <v:textbox style="mso-fit-shape-to-text:t;">
                  <w:txbxContent>
                    <w:p>
                      <w:r>
                        <w:rPr>
                          <w:rFonts w:hint="eastAsia"/>
                        </w:rPr>
                        <w:t>①正入射</w:t>
                      </w:r>
                    </w:p>
                    <w:p>
                      <w:r>
                        <w:rPr>
                          <w:rFonts w:hint="eastAsia"/>
                        </w:rPr>
                        <w:t>②现场入射</w:t>
                      </w:r>
                    </w:p>
                    <w:p>
                      <w:r>
                        <w:rPr>
                          <w:rFonts w:hint="eastAsia"/>
                        </w:rPr>
                        <w:t>③无规入射</w:t>
                      </w:r>
                    </w:p>
                  </w:txbxContent>
                </v:textbox>
              </v:shape>
            </w:pict>
          </mc:Fallback>
        </mc:AlternateContent>
      </w:r>
      <w:r>
        <w:rPr>
          <w:color w:val="000000" w:themeColor="text1"/>
          <w:sz w:val="28"/>
          <w:highlight w:val="none"/>
          <w:lang w:val="en-US"/>
          <w14:textFill>
            <w14:solidFill>
              <w14:schemeClr w14:val="tx1"/>
            </w14:solidFill>
          </w14:textFill>
        </w:rPr>
        <w:drawing>
          <wp:inline distT="0" distB="0" distL="0" distR="0">
            <wp:extent cx="5253355" cy="2846705"/>
            <wp:effectExtent l="0" t="0" r="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5">
                      <a:extLst>
                        <a:ext uri="{28A0092B-C50C-407E-A947-70E740481C1C}">
                          <a14:useLocalDpi xmlns:a14="http://schemas.microsoft.com/office/drawing/2010/main" val="0"/>
                        </a:ext>
                      </a:extLst>
                    </a:blip>
                    <a:srcRect l="-16826" r="-22047"/>
                    <a:stretch>
                      <a:fillRect/>
                    </a:stretch>
                  </pic:blipFill>
                  <pic:spPr>
                    <a:xfrm>
                      <a:off x="0" y="0"/>
                      <a:ext cx="5253355" cy="2846705"/>
                    </a:xfrm>
                    <a:prstGeom prst="rect">
                      <a:avLst/>
                    </a:prstGeom>
                    <a:noFill/>
                    <a:ln>
                      <a:noFill/>
                    </a:ln>
                  </pic:spPr>
                </pic:pic>
              </a:graphicData>
            </a:graphic>
          </wp:inline>
        </w:drawing>
      </w:r>
    </w:p>
    <w:p>
      <w:pPr>
        <w:pStyle w:val="59"/>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图</w:t>
      </w:r>
      <w:r>
        <w:rPr>
          <w:color w:val="000000" w:themeColor="text1"/>
          <w:sz w:val="28"/>
          <w:highlight w:val="none"/>
          <w14:textFill>
            <w14:solidFill>
              <w14:schemeClr w14:val="tx1"/>
            </w14:solidFill>
          </w14:textFill>
        </w:rPr>
        <w:fldChar w:fldCharType="begin"/>
      </w:r>
      <w:r>
        <w:rPr>
          <w:rFonts w:hint="eastAsia"/>
          <w:color w:val="000000" w:themeColor="text1"/>
          <w:sz w:val="28"/>
          <w:highlight w:val="none"/>
          <w14:textFill>
            <w14:solidFill>
              <w14:schemeClr w14:val="tx1"/>
            </w14:solidFill>
          </w14:textFill>
        </w:rPr>
        <w:instrText xml:space="preserve">SEQ 图 \* ARABIC</w:instrText>
      </w:r>
      <w:r>
        <w:rPr>
          <w:color w:val="000000" w:themeColor="text1"/>
          <w:sz w:val="28"/>
          <w:highlight w:val="none"/>
          <w14:textFill>
            <w14:solidFill>
              <w14:schemeClr w14:val="tx1"/>
            </w14:solidFill>
          </w14:textFill>
        </w:rPr>
        <w:fldChar w:fldCharType="separate"/>
      </w:r>
      <w:r>
        <w:rPr>
          <w:rFonts w:hint="eastAsia"/>
          <w:color w:val="000000" w:themeColor="text1"/>
          <w:sz w:val="28"/>
          <w:highlight w:val="none"/>
          <w14:textFill>
            <w14:solidFill>
              <w14:schemeClr w14:val="tx1"/>
            </w14:solidFill>
          </w14:textFill>
        </w:rPr>
        <w:t>3</w:t>
      </w:r>
      <w:r>
        <w:rPr>
          <w:color w:val="000000" w:themeColor="text1"/>
          <w:sz w:val="28"/>
          <w:highlight w:val="none"/>
          <w14:textFill>
            <w14:solidFill>
              <w14:schemeClr w14:val="tx1"/>
            </w14:solidFill>
          </w14:textFill>
        </w:rPr>
        <w:fldChar w:fldCharType="end"/>
      </w:r>
      <w:r>
        <w:rPr>
          <w:rFonts w:hint="eastAsia"/>
          <w:color w:val="000000" w:themeColor="text1"/>
          <w:sz w:val="28"/>
          <w:highlight w:val="none"/>
          <w14:textFill>
            <w14:solidFill>
              <w14:schemeClr w14:val="tx1"/>
            </w14:solidFill>
          </w14:textFill>
        </w:rPr>
        <w:t xml:space="preserve"> 由质量控制的柔性板的隔声量</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由于本式是建立在理论上的许多假定条件下导出的，计算值普遍比实测大，并不符合现场实际情况，所以一般隔声设计中采用经验公式进行隔声量计算。</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所有经验公式隔声量计算值，普遍小于理论公式计算值，并不同程度地接近现场实际情况，接近实测，所以经验公式比理论公式有实用价值。</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经验公式都是加进了实践的因素，即包括实验室测定、现场测定、主观评估、判断等研究成果，它比理论公式接近实际，已不再是完全符合质量定律中的假定条件。但这些经验公式的基本变量还是质量</w:t>
      </w:r>
      <w:r>
        <w:rPr>
          <w:color w:val="000000" w:themeColor="text1"/>
          <w:sz w:val="28"/>
          <w:highlight w:val="none"/>
          <w14:textFill>
            <w14:solidFill>
              <w14:schemeClr w14:val="tx1"/>
            </w14:solidFill>
          </w14:textFill>
        </w:rPr>
        <w:t>m</w:t>
      </w:r>
      <w:r>
        <w:rPr>
          <w:rFonts w:hint="eastAsia"/>
          <w:color w:val="000000" w:themeColor="text1"/>
          <w:sz w:val="28"/>
          <w:highlight w:val="none"/>
          <w14:textFill>
            <w14:solidFill>
              <w14:schemeClr w14:val="tx1"/>
            </w14:solidFill>
          </w14:textFill>
        </w:rPr>
        <w:t>,质量大小控制隔声量，所以这类公式还是以质量定律为基本理论的隔声量经验计算式，是理论上的质量定律向实践的延伸。</w:t>
      </w:r>
    </w:p>
    <w:p>
      <w:pPr>
        <w:pStyle w:val="5"/>
        <w:spacing w:line="360" w:lineRule="auto"/>
        <w:rPr>
          <w:color w:val="000000" w:themeColor="text1"/>
          <w:sz w:val="28"/>
          <w:highlight w:val="none"/>
          <w14:textFill>
            <w14:solidFill>
              <w14:schemeClr w14:val="tx1"/>
            </w14:solidFill>
          </w14:textFill>
        </w:rPr>
      </w:pPr>
      <w:bookmarkStart w:id="57" w:name="_Toc8122"/>
      <w:bookmarkStart w:id="58" w:name="_Toc14475"/>
      <w:bookmarkStart w:id="59" w:name="_Toc32088"/>
      <w:r>
        <w:rPr>
          <w:rFonts w:hint="eastAsia"/>
          <w:color w:val="000000" w:themeColor="text1"/>
          <w:sz w:val="28"/>
          <w:highlight w:val="none"/>
          <w14:textFill>
            <w14:solidFill>
              <w14:schemeClr w14:val="tx1"/>
            </w14:solidFill>
          </w14:textFill>
        </w:rPr>
        <w:t>建筑构件隔声性能分析</w:t>
      </w:r>
      <w:bookmarkEnd w:id="57"/>
      <w:bookmarkEnd w:id="58"/>
      <w:bookmarkEnd w:id="59"/>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w:t>
      </w:r>
      <w:r>
        <w:rPr>
          <w:color w:val="000000" w:themeColor="text1"/>
          <w:sz w:val="28"/>
          <w:highlight w:val="none"/>
          <w14:textFill>
            <w14:solidFill>
              <w14:schemeClr w14:val="tx1"/>
            </w14:solidFill>
          </w14:textFill>
        </w:rPr>
        <w:t>建筑隔声设计——空气声隔声技术</w:t>
      </w:r>
      <w:r>
        <w:rPr>
          <w:rFonts w:hint="eastAsia"/>
          <w:color w:val="000000" w:themeColor="text1"/>
          <w:sz w:val="28"/>
          <w:highlight w:val="none"/>
          <w14:textFill>
            <w14:solidFill>
              <w14:schemeClr w14:val="tx1"/>
            </w14:solidFill>
          </w14:textFill>
        </w:rPr>
        <w:t>》书中推荐使用影响我国声学界的艾尔杰里的两个经验公式，这两个经验公式是建筑师进行隔声设计的重要依据：</w:t>
      </w:r>
    </w:p>
    <w:p>
      <w:pPr>
        <w:spacing w:line="360" w:lineRule="auto"/>
        <w:jc w:val="center"/>
        <w:rPr>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38" o:spt="75" type="#_x0000_t75" style="height:15.05pt;width:72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r>
        <w:rPr>
          <w:color w:val="000000" w:themeColor="text1"/>
          <w:sz w:val="28"/>
          <w:highlight w:val="none"/>
          <w14:textFill>
            <w14:solidFill>
              <w14:schemeClr w14:val="tx1"/>
            </w14:solidFill>
          </w14:textFill>
        </w:rPr>
        <w:t>(m≥200kg/</w:t>
      </w:r>
      <w:r>
        <w:rPr>
          <w:rFonts w:hint="eastAsia"/>
          <w:color w:val="000000" w:themeColor="text1"/>
          <w:sz w:val="28"/>
          <w:highlight w:val="none"/>
          <w14:textFill>
            <w14:solidFill>
              <w14:schemeClr w14:val="tx1"/>
            </w14:solidFill>
          </w14:textFill>
        </w:rPr>
        <w:t>m</w:t>
      </w:r>
      <w:r>
        <w:rPr>
          <w:rFonts w:hint="eastAsia"/>
          <w:color w:val="000000" w:themeColor="text1"/>
          <w:sz w:val="28"/>
          <w:highlight w:val="none"/>
          <w:vertAlign w:val="superscript"/>
          <w14:textFill>
            <w14:solidFill>
              <w14:schemeClr w14:val="tx1"/>
            </w14:solidFill>
          </w14:textFill>
        </w:rPr>
        <w:t>2</w:t>
      </w:r>
      <w:r>
        <w:rPr>
          <w:color w:val="000000" w:themeColor="text1"/>
          <w:sz w:val="28"/>
          <w:highlight w:val="none"/>
          <w14:textFill>
            <w14:solidFill>
              <w14:schemeClr w14:val="tx1"/>
            </w14:solidFill>
          </w14:textFill>
        </w:rPr>
        <w:t>)</w:t>
      </w:r>
    </w:p>
    <w:p>
      <w:pPr>
        <w:spacing w:line="360" w:lineRule="auto"/>
        <w:jc w:val="center"/>
        <w:rPr>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39" o:spt="75" type="#_x0000_t75" style="height:15.05pt;width:87.05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hint="eastAsia"/>
          <w:color w:val="000000" w:themeColor="text1"/>
          <w:sz w:val="28"/>
          <w:highlight w:val="none"/>
          <w14:textFill>
            <w14:solidFill>
              <w14:schemeClr w14:val="tx1"/>
            </w14:solidFill>
          </w14:textFill>
        </w:rPr>
        <w:t xml:space="preserve">  (m≤200kg/ m</w:t>
      </w:r>
      <w:r>
        <w:rPr>
          <w:rFonts w:hint="eastAsia"/>
          <w:color w:val="000000" w:themeColor="text1"/>
          <w:sz w:val="28"/>
          <w:highlight w:val="none"/>
          <w:vertAlign w:val="superscript"/>
          <w14:textFill>
            <w14:solidFill>
              <w14:schemeClr w14:val="tx1"/>
            </w14:solidFill>
          </w14:textFill>
        </w:rPr>
        <w:t>2</w:t>
      </w:r>
      <w:r>
        <w:rPr>
          <w:rFonts w:hint="eastAsia"/>
          <w:color w:val="000000" w:themeColor="text1"/>
          <w:sz w:val="28"/>
          <w:highlight w:val="none"/>
          <w14:textFill>
            <w14:solidFill>
              <w14:schemeClr w14:val="tx1"/>
            </w14:solidFill>
          </w14:textFill>
        </w:rPr>
        <w:t>)</w:t>
      </w:r>
    </w:p>
    <w:p>
      <w:pPr>
        <w:pStyle w:val="6"/>
        <w:spacing w:line="360" w:lineRule="auto"/>
        <w:rPr>
          <w:color w:val="000000" w:themeColor="text1"/>
          <w:sz w:val="28"/>
          <w:highlight w:val="none"/>
          <w14:textFill>
            <w14:solidFill>
              <w14:schemeClr w14:val="tx1"/>
            </w14:solidFill>
          </w14:textFill>
        </w:rPr>
      </w:pPr>
      <w:bookmarkStart w:id="60" w:name="_Toc23643"/>
      <w:bookmarkEnd w:id="60"/>
      <w:bookmarkStart w:id="61" w:name="_Toc16579"/>
    </w:p>
    <w:p>
      <w:pPr>
        <w:pStyle w:val="6"/>
        <w:spacing w:line="360" w:lineRule="auto"/>
        <w:rPr>
          <w:color w:val="000000" w:themeColor="text1"/>
          <w:sz w:val="28"/>
          <w:highlight w:val="none"/>
          <w14:textFill>
            <w14:solidFill>
              <w14:schemeClr w14:val="tx1"/>
            </w14:solidFill>
          </w14:textFill>
        </w:rPr>
      </w:pPr>
      <w:bookmarkStart w:id="62" w:name="_Toc19979"/>
      <w:r>
        <w:rPr>
          <w:rFonts w:hint="eastAsia"/>
          <w:color w:val="000000" w:themeColor="text1"/>
          <w:sz w:val="28"/>
          <w:highlight w:val="none"/>
          <w14:textFill>
            <w14:solidFill>
              <w14:schemeClr w14:val="tx1"/>
            </w14:solidFill>
          </w14:textFill>
        </w:rPr>
        <w:t>外墙空气声计权隔声量+噪声频谱修正量：</w:t>
      </w:r>
      <w:bookmarkEnd w:id="61"/>
      <w:bookmarkEnd w:id="62"/>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本项目外墙类型（由外至内）：</w:t>
      </w:r>
    </w:p>
    <w:p>
      <w:pPr>
        <w:pStyle w:val="2"/>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水泥砂浆 20mm＋蒸压加气混凝土砌块 200mm＋水泥砂浆 20mm＋抹面胶浆+耐碱玻纤网布抗裂砂浆 10mm</w:t>
      </w:r>
    </w:p>
    <w:p>
      <w:pPr>
        <w:pStyle w:val="2"/>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防水砂浆 15mm＋抗裂砂浆（网格布） 5mm＋无机轻集料保温浆料Ⅱ型 30mm＋蒸压加气混凝土砌块 200mm＋无机轻集料保温浆料Ⅱ型 10mm＋抗裂砂浆（网格布） 5mm＋水泥砂浆 15mm</w:t>
      </w:r>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对于该项目外墙空气计权隔声量采用计算的方式来验证。计算方式如下。</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综合面密度计算表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0"/>
        <w:gridCol w:w="709"/>
        <w:gridCol w:w="851"/>
        <w:gridCol w:w="1276"/>
        <w:gridCol w:w="1276"/>
        <w:gridCol w:w="1417"/>
        <w:gridCol w:w="1134"/>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290" w:type="dxa"/>
            <w:shd w:val="clear" w:color="auto" w:fill="BEBEBE" w:themeFill="background1" w:themeFillShade="BF"/>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墙类型</w:t>
            </w:r>
          </w:p>
        </w:tc>
        <w:tc>
          <w:tcPr>
            <w:tcW w:w="709" w:type="dxa"/>
            <w:shd w:val="clear" w:color="auto" w:fill="BEBEBE" w:themeFill="background1" w:themeFillShade="BF"/>
            <w:noWrap/>
            <w:tcMar>
              <w:top w:w="15" w:type="dxa"/>
              <w:left w:w="15" w:type="dxa"/>
              <w:right w:w="15" w:type="dxa"/>
            </w:tcMar>
            <w:vAlign w:val="center"/>
          </w:tcPr>
          <w:p>
            <w:pPr>
              <w:jc w:val="center"/>
              <w:textAlignment w:val="bottom"/>
              <w:rPr>
                <w:rFonts w:ascii="宋体" w:hAnsi="宋体" w:cs="宋体"/>
                <w:color w:val="000000" w:themeColor="text1"/>
                <w:sz w:val="28"/>
                <w:szCs w:val="21"/>
                <w:highlight w:val="none"/>
                <w:lang w:val="en-US" w:bidi="ar"/>
                <w14:textFill>
                  <w14:solidFill>
                    <w14:schemeClr w14:val="tx1"/>
                  </w14:solidFill>
                </w14:textFill>
              </w:rPr>
            </w:pPr>
            <w:r>
              <w:rPr>
                <w:rFonts w:hint="eastAsia"/>
                <w:color w:val="000000" w:themeColor="text1"/>
                <w:sz w:val="28"/>
                <w:szCs w:val="18"/>
                <w:highlight w:val="none"/>
                <w14:textFill>
                  <w14:solidFill>
                    <w14:schemeClr w14:val="tx1"/>
                  </w14:solidFill>
                </w14:textFill>
              </w:rPr>
              <w:t>防水砂浆</w:t>
            </w:r>
          </w:p>
        </w:tc>
        <w:tc>
          <w:tcPr>
            <w:tcW w:w="851" w:type="dxa"/>
            <w:shd w:val="clear" w:color="auto" w:fill="BEBEBE" w:themeFill="background1" w:themeFillShade="BF"/>
            <w:vAlign w:val="center"/>
          </w:tcPr>
          <w:p>
            <w:pPr>
              <w:jc w:val="center"/>
              <w:textAlignment w:val="bottom"/>
              <w:rPr>
                <w:color w:val="000000" w:themeColor="text1"/>
                <w:sz w:val="28"/>
                <w:szCs w:val="18"/>
                <w:highlight w:val="none"/>
                <w14:textFill>
                  <w14:solidFill>
                    <w14:schemeClr w14:val="tx1"/>
                  </w14:solidFill>
                </w14:textFill>
              </w:rPr>
            </w:pPr>
            <w:r>
              <w:rPr>
                <w:rFonts w:hint="eastAsia"/>
                <w:color w:val="000000" w:themeColor="text1"/>
                <w:sz w:val="28"/>
                <w:szCs w:val="18"/>
                <w:highlight w:val="none"/>
                <w14:textFill>
                  <w14:solidFill>
                    <w14:schemeClr w14:val="tx1"/>
                  </w14:solidFill>
                </w14:textFill>
              </w:rPr>
              <w:t>抗裂砂浆（网格布）</w:t>
            </w:r>
          </w:p>
        </w:tc>
        <w:tc>
          <w:tcPr>
            <w:tcW w:w="1276" w:type="dxa"/>
            <w:shd w:val="clear" w:color="auto" w:fill="BEBEBE" w:themeFill="background1" w:themeFillShade="BF"/>
            <w:tcMar>
              <w:top w:w="15" w:type="dxa"/>
              <w:left w:w="15" w:type="dxa"/>
              <w:right w:w="15" w:type="dxa"/>
            </w:tcMar>
            <w:vAlign w:val="center"/>
          </w:tcPr>
          <w:p>
            <w:pPr>
              <w:jc w:val="center"/>
              <w:textAlignment w:val="bottom"/>
              <w:rPr>
                <w:rFonts w:ascii="宋体" w:hAnsi="宋体" w:cs="宋体"/>
                <w:color w:val="000000" w:themeColor="text1"/>
                <w:sz w:val="28"/>
                <w:szCs w:val="21"/>
                <w:highlight w:val="none"/>
                <w:lang w:val="en-US" w:bidi="ar"/>
                <w14:textFill>
                  <w14:solidFill>
                    <w14:schemeClr w14:val="tx1"/>
                  </w14:solidFill>
                </w14:textFill>
              </w:rPr>
            </w:pPr>
            <w:r>
              <w:rPr>
                <w:rFonts w:hint="eastAsia"/>
                <w:color w:val="000000" w:themeColor="text1"/>
                <w:sz w:val="28"/>
                <w:szCs w:val="18"/>
                <w:highlight w:val="none"/>
                <w14:textFill>
                  <w14:solidFill>
                    <w14:schemeClr w14:val="tx1"/>
                  </w14:solidFill>
                </w14:textFill>
              </w:rPr>
              <w:t>无机轻集料保温浆料Ⅱ型</w:t>
            </w:r>
          </w:p>
        </w:tc>
        <w:tc>
          <w:tcPr>
            <w:tcW w:w="1276" w:type="dxa"/>
            <w:shd w:val="clear" w:color="auto" w:fill="BEBEBE" w:themeFill="background1" w:themeFillShade="BF"/>
            <w:tcMar>
              <w:top w:w="15" w:type="dxa"/>
              <w:left w:w="15" w:type="dxa"/>
              <w:right w:w="15" w:type="dxa"/>
            </w:tcMar>
            <w:vAlign w:val="center"/>
          </w:tcPr>
          <w:p>
            <w:pPr>
              <w:jc w:val="center"/>
              <w:textAlignment w:val="bottom"/>
              <w:rPr>
                <w:rFonts w:ascii="宋体" w:hAnsi="宋体" w:cs="宋体"/>
                <w:color w:val="000000" w:themeColor="text1"/>
                <w:sz w:val="28"/>
                <w:szCs w:val="21"/>
                <w:highlight w:val="none"/>
                <w:lang w:val="en-US" w:bidi="ar"/>
                <w14:textFill>
                  <w14:solidFill>
                    <w14:schemeClr w14:val="tx1"/>
                  </w14:solidFill>
                </w14:textFill>
              </w:rPr>
            </w:pPr>
            <w:r>
              <w:rPr>
                <w:rFonts w:hint="eastAsia"/>
                <w:color w:val="000000" w:themeColor="text1"/>
                <w:sz w:val="28"/>
                <w:szCs w:val="18"/>
                <w:highlight w:val="none"/>
                <w14:textFill>
                  <w14:solidFill>
                    <w14:schemeClr w14:val="tx1"/>
                  </w14:solidFill>
                </w14:textFill>
              </w:rPr>
              <w:t>蒸压加气混凝土砌块</w:t>
            </w:r>
          </w:p>
        </w:tc>
        <w:tc>
          <w:tcPr>
            <w:tcW w:w="1417" w:type="dxa"/>
            <w:shd w:val="clear" w:color="auto" w:fill="BEBEBE" w:themeFill="background1" w:themeFillShade="BF"/>
            <w:tcMar>
              <w:top w:w="15" w:type="dxa"/>
              <w:left w:w="15" w:type="dxa"/>
              <w:right w:w="15" w:type="dxa"/>
            </w:tcMar>
            <w:vAlign w:val="center"/>
          </w:tcPr>
          <w:p>
            <w:pPr>
              <w:jc w:val="center"/>
              <w:textAlignment w:val="bottom"/>
              <w:rPr>
                <w:rFonts w:ascii="宋体" w:hAnsi="宋体" w:cs="宋体"/>
                <w:color w:val="000000" w:themeColor="text1"/>
                <w:sz w:val="28"/>
                <w:szCs w:val="21"/>
                <w:highlight w:val="none"/>
                <w:lang w:val="en-US" w:bidi="ar"/>
                <w14:textFill>
                  <w14:solidFill>
                    <w14:schemeClr w14:val="tx1"/>
                  </w14:solidFill>
                </w14:textFill>
              </w:rPr>
            </w:pPr>
            <w:r>
              <w:rPr>
                <w:rFonts w:hint="eastAsia"/>
                <w:color w:val="000000" w:themeColor="text1"/>
                <w:sz w:val="28"/>
                <w:szCs w:val="18"/>
                <w:highlight w:val="none"/>
                <w14:textFill>
                  <w14:solidFill>
                    <w14:schemeClr w14:val="tx1"/>
                  </w14:solidFill>
                </w14:textFill>
              </w:rPr>
              <w:t>无机轻集料保温浆料Ⅱ型</w:t>
            </w:r>
          </w:p>
        </w:tc>
        <w:tc>
          <w:tcPr>
            <w:tcW w:w="1134" w:type="dxa"/>
            <w:shd w:val="clear" w:color="auto" w:fill="BEBEBE" w:themeFill="background1" w:themeFillShade="BF"/>
            <w:tcMar>
              <w:top w:w="15" w:type="dxa"/>
              <w:left w:w="15" w:type="dxa"/>
              <w:right w:w="15" w:type="dxa"/>
            </w:tcMar>
            <w:vAlign w:val="center"/>
          </w:tcPr>
          <w:p>
            <w:pPr>
              <w:jc w:val="center"/>
              <w:textAlignment w:val="bottom"/>
              <w:rPr>
                <w:rFonts w:ascii="宋体" w:hAnsi="宋体" w:cs="宋体"/>
                <w:color w:val="000000" w:themeColor="text1"/>
                <w:sz w:val="28"/>
                <w:szCs w:val="21"/>
                <w:highlight w:val="none"/>
                <w:lang w:val="en-US" w:bidi="ar"/>
                <w14:textFill>
                  <w14:solidFill>
                    <w14:schemeClr w14:val="tx1"/>
                  </w14:solidFill>
                </w14:textFill>
              </w:rPr>
            </w:pPr>
            <w:r>
              <w:rPr>
                <w:rFonts w:hint="eastAsia"/>
                <w:color w:val="000000" w:themeColor="text1"/>
                <w:sz w:val="28"/>
                <w:szCs w:val="18"/>
                <w:highlight w:val="none"/>
                <w14:textFill>
                  <w14:solidFill>
                    <w14:schemeClr w14:val="tx1"/>
                  </w14:solidFill>
                </w14:textFill>
              </w:rPr>
              <w:t>抗裂砂浆（网格布）</w:t>
            </w:r>
          </w:p>
        </w:tc>
        <w:tc>
          <w:tcPr>
            <w:tcW w:w="1137" w:type="dxa"/>
            <w:shd w:val="clear" w:color="auto" w:fill="BEBEBE" w:themeFill="background1" w:themeFillShade="BF"/>
            <w:vAlign w:val="center"/>
          </w:tcPr>
          <w:p>
            <w:pPr>
              <w:jc w:val="center"/>
              <w:textAlignment w:val="bottom"/>
              <w:rPr>
                <w:color w:val="000000" w:themeColor="text1"/>
                <w:sz w:val="28"/>
                <w:szCs w:val="18"/>
                <w:highlight w:val="none"/>
                <w14:textFill>
                  <w14:solidFill>
                    <w14:schemeClr w14:val="tx1"/>
                  </w14:solidFill>
                </w14:textFill>
              </w:rPr>
            </w:pPr>
            <w:r>
              <w:rPr>
                <w:rFonts w:hint="eastAsia"/>
                <w:color w:val="000000" w:themeColor="text1"/>
                <w:sz w:val="28"/>
                <w:szCs w:val="18"/>
                <w:highlight w:val="none"/>
                <w14:textFill>
                  <w14:solidFill>
                    <w14:schemeClr w14:val="tx1"/>
                  </w14:solidFill>
                </w14:textFill>
              </w:rPr>
              <w:t>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290"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厚度</w:t>
            </w:r>
            <w:r>
              <w:rPr>
                <w:rFonts w:ascii="宋体" w:hAnsi="宋体" w:cs="宋体"/>
                <w:color w:val="000000" w:themeColor="text1"/>
                <w:sz w:val="28"/>
                <w:szCs w:val="21"/>
                <w:highlight w:val="none"/>
                <w:lang w:val="en-US" w:bidi="ar"/>
                <w14:textFill>
                  <w14:solidFill>
                    <w14:schemeClr w14:val="tx1"/>
                  </w14:solidFill>
                </w14:textFill>
              </w:rPr>
              <w:t>(mm)</w:t>
            </w:r>
          </w:p>
        </w:tc>
        <w:tc>
          <w:tcPr>
            <w:tcW w:w="709"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1800</w:t>
            </w:r>
          </w:p>
        </w:tc>
        <w:tc>
          <w:tcPr>
            <w:tcW w:w="851" w:type="dxa"/>
          </w:tcPr>
          <w:p>
            <w:pPr>
              <w:jc w:val="center"/>
              <w:textAlignment w:val="center"/>
              <w:rPr>
                <w:rFonts w:ascii="等线" w:hAnsi="等线"/>
                <w:color w:val="000000" w:themeColor="text1"/>
                <w:sz w:val="28"/>
                <w:szCs w:val="22"/>
                <w:highlight w:val="none"/>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w:t>
            </w:r>
            <w:r>
              <w:rPr>
                <w:rFonts w:ascii="等线" w:hAnsi="等线"/>
                <w:color w:val="000000" w:themeColor="text1"/>
                <w:sz w:val="28"/>
                <w:szCs w:val="22"/>
                <w:highlight w:val="none"/>
                <w14:textFill>
                  <w14:solidFill>
                    <w14:schemeClr w14:val="tx1"/>
                  </w14:solidFill>
                </w14:textFill>
              </w:rPr>
              <w:t>800</w:t>
            </w:r>
          </w:p>
        </w:tc>
        <w:tc>
          <w:tcPr>
            <w:tcW w:w="1276"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450</w:t>
            </w:r>
          </w:p>
        </w:tc>
        <w:tc>
          <w:tcPr>
            <w:tcW w:w="1276"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1100</w:t>
            </w:r>
          </w:p>
        </w:tc>
        <w:tc>
          <w:tcPr>
            <w:tcW w:w="1417"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450</w:t>
            </w:r>
          </w:p>
        </w:tc>
        <w:tc>
          <w:tcPr>
            <w:tcW w:w="1134"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1800</w:t>
            </w:r>
          </w:p>
        </w:tc>
        <w:tc>
          <w:tcPr>
            <w:tcW w:w="1137" w:type="dxa"/>
          </w:tcPr>
          <w:p>
            <w:pPr>
              <w:jc w:val="center"/>
              <w:textAlignment w:val="center"/>
              <w:rPr>
                <w:rFonts w:ascii="等线" w:hAnsi="等线"/>
                <w:color w:val="000000" w:themeColor="text1"/>
                <w:sz w:val="28"/>
                <w:szCs w:val="22"/>
                <w:highlight w:val="none"/>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w:t>
            </w:r>
            <w:r>
              <w:rPr>
                <w:rFonts w:ascii="等线" w:hAnsi="等线"/>
                <w:color w:val="000000" w:themeColor="text1"/>
                <w:sz w:val="28"/>
                <w:szCs w:val="22"/>
                <w:highlight w:val="none"/>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90"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材料密度</w:t>
            </w:r>
            <w:r>
              <w:rPr>
                <w:rFonts w:ascii="宋体" w:hAnsi="宋体" w:cs="宋体"/>
                <w:color w:val="000000" w:themeColor="text1"/>
                <w:sz w:val="28"/>
                <w:szCs w:val="21"/>
                <w:highlight w:val="none"/>
                <w:lang w:val="en-US" w:bidi="ar"/>
                <w14:textFill>
                  <w14:solidFill>
                    <w14:schemeClr w14:val="tx1"/>
                  </w14:solidFill>
                </w14:textFill>
              </w:rPr>
              <w:t>(kg/m3)</w:t>
            </w:r>
          </w:p>
        </w:tc>
        <w:tc>
          <w:tcPr>
            <w:tcW w:w="709"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ascii="等线" w:hAnsi="等线"/>
                <w:color w:val="000000" w:themeColor="text1"/>
                <w:sz w:val="28"/>
                <w:szCs w:val="22"/>
                <w:highlight w:val="none"/>
                <w14:textFill>
                  <w14:solidFill>
                    <w14:schemeClr w14:val="tx1"/>
                  </w14:solidFill>
                </w14:textFill>
              </w:rPr>
              <w:t>15</w:t>
            </w:r>
          </w:p>
        </w:tc>
        <w:tc>
          <w:tcPr>
            <w:tcW w:w="851" w:type="dxa"/>
            <w:vAlign w:val="center"/>
          </w:tcPr>
          <w:p>
            <w:pPr>
              <w:jc w:val="center"/>
              <w:textAlignment w:val="center"/>
              <w:rPr>
                <w:rFonts w:ascii="等线" w:hAnsi="等线"/>
                <w:color w:val="000000" w:themeColor="text1"/>
                <w:sz w:val="28"/>
                <w:szCs w:val="22"/>
                <w:highlight w:val="none"/>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5</w:t>
            </w:r>
          </w:p>
        </w:tc>
        <w:tc>
          <w:tcPr>
            <w:tcW w:w="1276"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30</w:t>
            </w:r>
          </w:p>
        </w:tc>
        <w:tc>
          <w:tcPr>
            <w:tcW w:w="1276"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200</w:t>
            </w:r>
          </w:p>
        </w:tc>
        <w:tc>
          <w:tcPr>
            <w:tcW w:w="1417"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10</w:t>
            </w:r>
          </w:p>
        </w:tc>
        <w:tc>
          <w:tcPr>
            <w:tcW w:w="1134"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ascii="等线" w:hAnsi="等线"/>
                <w:color w:val="000000" w:themeColor="text1"/>
                <w:sz w:val="28"/>
                <w:szCs w:val="22"/>
                <w:highlight w:val="none"/>
                <w14:textFill>
                  <w14:solidFill>
                    <w14:schemeClr w14:val="tx1"/>
                  </w14:solidFill>
                </w14:textFill>
              </w:rPr>
              <w:t>5</w:t>
            </w:r>
          </w:p>
        </w:tc>
        <w:tc>
          <w:tcPr>
            <w:tcW w:w="1137" w:type="dxa"/>
            <w:vAlign w:val="center"/>
          </w:tcPr>
          <w:p>
            <w:pPr>
              <w:jc w:val="center"/>
              <w:textAlignment w:val="center"/>
              <w:rPr>
                <w:rFonts w:ascii="等线" w:hAnsi="等线"/>
                <w:color w:val="000000" w:themeColor="text1"/>
                <w:sz w:val="28"/>
                <w:szCs w:val="22"/>
                <w:highlight w:val="none"/>
                <w14:textFill>
                  <w14:solidFill>
                    <w14:schemeClr w14:val="tx1"/>
                  </w14:solidFill>
                </w14:textFill>
              </w:rPr>
            </w:pPr>
            <w:r>
              <w:rPr>
                <w:rFonts w:hint="eastAsia" w:ascii="等线" w:hAnsi="等线"/>
                <w:color w:val="000000" w:themeColor="text1"/>
                <w:sz w:val="28"/>
                <w:szCs w:val="22"/>
                <w:highlight w:val="none"/>
                <w14:textFill>
                  <w14:solidFill>
                    <w14:schemeClr w14:val="tx1"/>
                  </w14:solidFill>
                </w14:textFill>
              </w:rPr>
              <w:t>1</w:t>
            </w:r>
            <w:r>
              <w:rPr>
                <w:rFonts w:ascii="等线" w:hAnsi="等线"/>
                <w:color w:val="000000" w:themeColor="text1"/>
                <w:sz w:val="28"/>
                <w:szCs w:val="22"/>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290" w:type="dxa"/>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综合面密度</w:t>
            </w:r>
            <w:r>
              <w:rPr>
                <w:rFonts w:ascii="宋体" w:hAnsi="宋体" w:cs="宋体"/>
                <w:color w:val="000000" w:themeColor="text1"/>
                <w:sz w:val="28"/>
                <w:szCs w:val="21"/>
                <w:highlight w:val="none"/>
                <w:lang w:val="en-US" w:bidi="ar"/>
                <w14:textFill>
                  <w14:solidFill>
                    <w14:schemeClr w14:val="tx1"/>
                  </w14:solidFill>
                </w14:textFill>
              </w:rPr>
              <w:t>(kg/m2)</w:t>
            </w:r>
          </w:p>
        </w:tc>
        <w:tc>
          <w:tcPr>
            <w:tcW w:w="7800" w:type="dxa"/>
            <w:gridSpan w:val="7"/>
            <w:vAlign w:val="center"/>
          </w:tcPr>
          <w:p>
            <w:pPr>
              <w:jc w:val="center"/>
              <w:textAlignment w:val="center"/>
              <w:rPr>
                <w:rFonts w:ascii="宋体" w:hAnsi="宋体" w:cs="宋体"/>
                <w:color w:val="000000" w:themeColor="text1"/>
                <w:sz w:val="28"/>
                <w:szCs w:val="21"/>
                <w:highlight w:val="none"/>
                <w:lang w:val="en-US" w:bidi="ar"/>
                <w14:textFill>
                  <w14:solidFill>
                    <w14:schemeClr w14:val="tx1"/>
                  </w14:solidFill>
                </w14:textFill>
              </w:rPr>
            </w:pPr>
            <w:r>
              <w:rPr>
                <w:rFonts w:ascii="宋体" w:hAnsi="宋体" w:cs="宋体"/>
                <w:color w:val="000000" w:themeColor="text1"/>
                <w:sz w:val="28"/>
                <w:szCs w:val="21"/>
                <w:highlight w:val="none"/>
                <w:lang w:val="en-US" w:bidi="ar"/>
                <w14:textFill>
                  <w14:solidFill>
                    <w14:schemeClr w14:val="tx1"/>
                  </w14:solidFill>
                </w14:textFill>
              </w:rPr>
              <w:t>310</w:t>
            </w:r>
          </w:p>
        </w:tc>
      </w:tr>
    </w:tbl>
    <w:p>
      <w:pPr>
        <w:spacing w:line="360" w:lineRule="auto"/>
        <w:ind w:firstLine="48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注：材料密度来自于《民用建筑热工设计规范》（GB50176-93）</w:t>
      </w:r>
      <w:r>
        <w:rPr>
          <w:rFonts w:hint="eastAsia"/>
          <w:color w:val="000000" w:themeColor="text1"/>
          <w:sz w:val="28"/>
          <w:highlight w:val="none"/>
          <w14:textFill>
            <w14:solidFill>
              <w14:schemeClr w14:val="tx1"/>
            </w14:solidFill>
          </w14:textFill>
        </w:rPr>
        <w:t>。</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根据《建筑隔声设计——空气隔声技术》中推荐的分频隔声量经验公式计算</w:t>
      </w:r>
      <w:r>
        <w:rPr>
          <w:color w:val="000000" w:themeColor="text1"/>
          <w:sz w:val="28"/>
          <w:highlight w:val="none"/>
          <w14:textFill>
            <w14:solidFill>
              <w14:schemeClr w14:val="tx1"/>
            </w14:solidFill>
          </w14:textFill>
        </w:rPr>
        <w:t>2</w:t>
      </w:r>
      <w:r>
        <w:rPr>
          <w:rFonts w:hint="eastAsia"/>
          <w:color w:val="000000" w:themeColor="text1"/>
          <w:sz w:val="28"/>
          <w:highlight w:val="none"/>
          <w14:textFill>
            <w14:solidFill>
              <w14:schemeClr w14:val="tx1"/>
            </w14:solidFill>
          </w14:textFill>
        </w:rPr>
        <w:t>3</w:t>
      </w:r>
      <w:r>
        <w:rPr>
          <w:color w:val="000000" w:themeColor="text1"/>
          <w:sz w:val="28"/>
          <w:highlight w:val="none"/>
          <w14:textFill>
            <w14:solidFill>
              <w14:schemeClr w14:val="tx1"/>
            </w14:solidFill>
          </w14:textFill>
        </w:rPr>
        <w:t xml:space="preserve">0mm </w:t>
      </w:r>
      <w:r>
        <w:rPr>
          <w:rFonts w:hint="eastAsia"/>
          <w:color w:val="000000" w:themeColor="text1"/>
          <w:sz w:val="28"/>
          <w:highlight w:val="none"/>
          <w14:textFill>
            <w14:solidFill>
              <w14:schemeClr w14:val="tx1"/>
            </w14:solidFill>
          </w14:textFill>
        </w:rPr>
        <w:t>厚（双面抹灰）</w:t>
      </w:r>
      <w:r>
        <w:rPr>
          <w:rFonts w:hint="eastAsia"/>
          <w:color w:val="000000" w:themeColor="text1"/>
          <w:kern w:val="0"/>
          <w:sz w:val="28"/>
          <w:highlight w:val="none"/>
          <w14:textFill>
            <w14:solidFill>
              <w14:schemeClr w14:val="tx1"/>
            </w14:solidFill>
          </w14:textFill>
        </w:rPr>
        <w:t>蒸压加气混凝土砌块</w:t>
      </w:r>
      <w:r>
        <w:rPr>
          <w:rFonts w:hint="eastAsia"/>
          <w:color w:val="000000" w:themeColor="text1"/>
          <w:sz w:val="28"/>
          <w:highlight w:val="none"/>
          <w14:textFill>
            <w14:solidFill>
              <w14:schemeClr w14:val="tx1"/>
            </w14:solidFill>
          </w14:textFill>
        </w:rPr>
        <w:t>各频率的隔声量，公式如下：</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0" o:spt="75" type="#_x0000_t75" style="height:15.05pt;width:123.05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r>
        <w:rPr>
          <w:rFonts w:ascii="宋体" w:hAnsi="宋体"/>
          <w:color w:val="000000" w:themeColor="text1"/>
          <w:sz w:val="28"/>
          <w:highlight w:val="none"/>
          <w14:textFill>
            <w14:solidFill>
              <w14:schemeClr w14:val="tx1"/>
            </w14:solidFill>
          </w14:textFill>
        </w:rPr>
        <w:t>(m≥200kg/</w:t>
      </w:r>
      <w:r>
        <w:rPr>
          <w:rFonts w:hint="eastAsia" w:ascii="宋体" w:hAnsi="宋体"/>
          <w:color w:val="000000" w:themeColor="text1"/>
          <w:sz w:val="28"/>
          <w:highlight w:val="none"/>
          <w14:textFill>
            <w14:solidFill>
              <w14:schemeClr w14:val="tx1"/>
            </w14:solidFill>
          </w14:textFill>
        </w:rPr>
        <w:t>m</w:t>
      </w:r>
      <w:r>
        <w:rPr>
          <w:rFonts w:hint="eastAsia" w:ascii="宋体" w:hAnsi="宋体"/>
          <w:color w:val="000000" w:themeColor="text1"/>
          <w:sz w:val="28"/>
          <w:highlight w:val="none"/>
          <w:vertAlign w:val="superscript"/>
          <w14:textFill>
            <w14:solidFill>
              <w14:schemeClr w14:val="tx1"/>
            </w14:solidFill>
          </w14:textFill>
        </w:rPr>
        <w:t>2</w:t>
      </w:r>
      <w:r>
        <w:rPr>
          <w:rFonts w:ascii="宋体" w:hAnsi="宋体"/>
          <w:color w:val="000000" w:themeColor="text1"/>
          <w:sz w:val="28"/>
          <w:highlight w:val="none"/>
          <w14:textFill>
            <w14:solidFill>
              <w14:schemeClr w14:val="tx1"/>
            </w14:solidFill>
          </w14:textFill>
        </w:rPr>
        <w:t>)</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1" o:spt="75" type="#_x0000_t75" style="height:15.05pt;width:113pt;" o:ole="t" filled="f" o:preferrelative="t" stroked="f" coordsize="21600,21600">
            <v:path/>
            <v:fill on="f" focussize="0,0"/>
            <v:stroke on="f" joinstyle="miter"/>
            <v:imagedata r:id="rId43" o:title=""/>
            <o:lock v:ext="edit" aspectratio="t"/>
            <w10:wrap type="none"/>
            <w10:anchorlock/>
          </v:shape>
          <o:OLEObject Type="Embed" ProgID="Equation.3" ShapeID="_x0000_i1041" DrawAspect="Content" ObjectID="_1468075741" r:id="rId42">
            <o:LockedField>false</o:LockedField>
          </o:OLEObject>
        </w:object>
      </w:r>
      <w:r>
        <w:rPr>
          <w:rFonts w:hint="eastAsia" w:ascii="宋体" w:hAnsi="宋体"/>
          <w:color w:val="000000" w:themeColor="text1"/>
          <w:sz w:val="28"/>
          <w:szCs w:val="21"/>
          <w:highlight w:val="none"/>
          <w14:textFill>
            <w14:solidFill>
              <w14:schemeClr w14:val="tx1"/>
            </w14:solidFill>
          </w14:textFill>
        </w:rPr>
        <w:t>(m≤200 kg/m</w:t>
      </w:r>
      <w:r>
        <w:rPr>
          <w:rFonts w:hint="eastAsia" w:ascii="宋体" w:hAnsi="宋体"/>
          <w:color w:val="000000" w:themeColor="text1"/>
          <w:sz w:val="28"/>
          <w:szCs w:val="21"/>
          <w:highlight w:val="none"/>
          <w:vertAlign w:val="superscript"/>
          <w14:textFill>
            <w14:solidFill>
              <w14:schemeClr w14:val="tx1"/>
            </w14:solidFill>
          </w14:textFill>
        </w:rPr>
        <w:t>2</w:t>
      </w:r>
      <w:r>
        <w:rPr>
          <w:rFonts w:hint="eastAsia" w:ascii="宋体" w:hAnsi="宋体"/>
          <w:color w:val="000000" w:themeColor="text1"/>
          <w:sz w:val="28"/>
          <w:szCs w:val="21"/>
          <w:highlight w:val="none"/>
          <w14:textFill>
            <w14:solidFill>
              <w14:schemeClr w14:val="tx1"/>
            </w14:solidFill>
          </w14:textFill>
        </w:rPr>
        <w:t>)</w:t>
      </w:r>
    </w:p>
    <w:p>
      <w:pPr>
        <w:pStyle w:val="16"/>
        <w:spacing w:line="360" w:lineRule="auto"/>
        <w:ind w:firstLine="560"/>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根据该公式，计算得到各频率下墙体隔声量如表所示。</w:t>
      </w:r>
    </w:p>
    <w:p>
      <w:pPr>
        <w:pStyle w:val="16"/>
        <w:spacing w:line="360" w:lineRule="auto"/>
        <w:ind w:firstLine="560"/>
        <w:jc w:val="center"/>
        <w:rPr>
          <w:color w:val="000000" w:themeColor="text1"/>
          <w:sz w:val="28"/>
          <w:szCs w:val="18"/>
          <w:highlight w:val="none"/>
          <w14:textFill>
            <w14:solidFill>
              <w14:schemeClr w14:val="tx1"/>
            </w14:solidFill>
          </w14:textFill>
        </w:rPr>
      </w:pPr>
      <w:r>
        <w:rPr>
          <w:rFonts w:hint="eastAsia"/>
          <w:color w:val="000000" w:themeColor="text1"/>
          <w:sz w:val="28"/>
          <w:szCs w:val="18"/>
          <w:highlight w:val="none"/>
          <w14:textFill>
            <w14:solidFill>
              <w14:schemeClr w14:val="tx1"/>
            </w14:solidFill>
          </w14:textFill>
        </w:rPr>
        <w:t>表5.3.1-1各频率下空气声隔声量</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290"/>
        <w:gridCol w:w="1547"/>
        <w:gridCol w:w="1547"/>
        <w:gridCol w:w="154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频率Hz</w:t>
            </w:r>
          </w:p>
        </w:tc>
        <w:tc>
          <w:tcPr>
            <w:tcW w:w="695"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125</w:t>
            </w:r>
          </w:p>
        </w:tc>
        <w:tc>
          <w:tcPr>
            <w:tcW w:w="833"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250</w:t>
            </w:r>
          </w:p>
        </w:tc>
        <w:tc>
          <w:tcPr>
            <w:tcW w:w="833"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500</w:t>
            </w:r>
          </w:p>
        </w:tc>
        <w:tc>
          <w:tcPr>
            <w:tcW w:w="833"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1000</w:t>
            </w:r>
          </w:p>
        </w:tc>
        <w:tc>
          <w:tcPr>
            <w:tcW w:w="833"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pct"/>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隔声量dB</w:t>
            </w:r>
          </w:p>
        </w:tc>
        <w:tc>
          <w:tcPr>
            <w:tcW w:w="695" w:type="pct"/>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 xml:space="preserve">39.4 </w:t>
            </w:r>
          </w:p>
        </w:tc>
        <w:tc>
          <w:tcPr>
            <w:tcW w:w="833" w:type="pct"/>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 xml:space="preserve">42.7 </w:t>
            </w:r>
          </w:p>
        </w:tc>
        <w:tc>
          <w:tcPr>
            <w:tcW w:w="833" w:type="pct"/>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 xml:space="preserve">46.0 </w:t>
            </w:r>
          </w:p>
        </w:tc>
        <w:tc>
          <w:tcPr>
            <w:tcW w:w="833" w:type="pct"/>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 xml:space="preserve">49.3 </w:t>
            </w:r>
          </w:p>
        </w:tc>
        <w:tc>
          <w:tcPr>
            <w:tcW w:w="833" w:type="pct"/>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 xml:space="preserve">52.6 </w:t>
            </w:r>
          </w:p>
        </w:tc>
      </w:tr>
    </w:tbl>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根据《建筑隔声评价标准》GB/T50121-2005，频谱修正量按以下公式进行计</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算</w:t>
      </w:r>
    </w:p>
    <w:p>
      <w:pPr>
        <w:spacing w:before="156" w:beforeLines="50" w:line="360" w:lineRule="auto"/>
        <w:ind w:firstLine="560" w:firstLineChars="200"/>
        <w:jc w:val="center"/>
        <w:rPr>
          <w:rFonts w:ascii="宋体" w:hAnsi="宋体"/>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drawing>
          <wp:inline distT="0" distB="0" distL="114300" distR="114300">
            <wp:extent cx="2847975" cy="495300"/>
            <wp:effectExtent l="0" t="0" r="9525" b="0"/>
            <wp:docPr id="2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1"/>
                    <pic:cNvPicPr>
                      <a:picLocks noChangeAspect="1"/>
                    </pic:cNvPicPr>
                  </pic:nvPicPr>
                  <pic:blipFill>
                    <a:blip r:embed="rId44"/>
                    <a:stretch>
                      <a:fillRect/>
                    </a:stretch>
                  </pic:blipFill>
                  <pic:spPr>
                    <a:xfrm>
                      <a:off x="0" y="0"/>
                      <a:ext cx="2847975" cy="495300"/>
                    </a:xfrm>
                    <a:prstGeom prst="rect">
                      <a:avLst/>
                    </a:prstGeom>
                    <a:noFill/>
                    <a:ln>
                      <a:noFill/>
                    </a:ln>
                  </pic:spPr>
                </pic:pic>
              </a:graphicData>
            </a:graphic>
          </wp:inline>
        </w:drawing>
      </w:r>
    </w:p>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式中，</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j——频谱序号，j=1 或 2，1 为计算 C 的频谱 1,2 为计算 Ctr 的频谱 2；</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Xw——按照 3．2 或 3．3 节规定的方法确定的单值评价量；</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i——100～3150Hz 的 1/3 倍频程或 125～2000Hz 的倍频程序号；</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Lij——表 3．1．3 中所给出的第 j 号频谱的第 i 个频带的声压级；</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Xi——第 i 个频带的测量量，包括表 3．1．1-1 和表 3．1．1-2 中所列</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的各种测量量，精确到 0．1dB。</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2</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第i个频带（倍频程）的空气隔声基准值</w:t>
      </w:r>
    </w:p>
    <w:tbl>
      <w:tblPr>
        <w:tblStyle w:val="25"/>
        <w:tblW w:w="693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155"/>
        <w:gridCol w:w="1155"/>
        <w:gridCol w:w="1155"/>
        <w:gridCol w:w="1155"/>
        <w:gridCol w:w="1155"/>
        <w:gridCol w:w="115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频率（Hz）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125Hz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250Hz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500Hz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1000Hz</w:t>
            </w:r>
          </w:p>
        </w:tc>
        <w:tc>
          <w:tcPr>
            <w:tcW w:w="1155" w:type="dxa"/>
            <w:tcBorders>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2000Hz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Li1</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-22</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-15</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-9</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c>
          <w:tcPr>
            <w:tcW w:w="1155" w:type="dxa"/>
            <w:tcBorders>
              <w:top w:val="single" w:color="000000" w:sz="8" w:space="0"/>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Li2</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-14</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-7</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-4</w:t>
            </w:r>
          </w:p>
        </w:tc>
        <w:tc>
          <w:tcPr>
            <w:tcW w:w="1155" w:type="dxa"/>
            <w:tcBorders>
              <w:top w:val="single" w:color="000000" w:sz="8" w:space="0"/>
              <w:left w:val="nil"/>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r>
    </w:tbl>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根据该公式，对于外墙构件隔声特性为</w:t>
      </w:r>
      <w:r>
        <w:rPr>
          <w:rFonts w:ascii="宋体" w:hAnsi="宋体" w:cs="宋体"/>
          <w:color w:val="000000" w:themeColor="text1"/>
          <w:sz w:val="28"/>
          <w:szCs w:val="24"/>
          <w:highlight w:val="none"/>
          <w:lang w:val="en-US"/>
          <w14:textFill>
            <w14:solidFill>
              <w14:schemeClr w14:val="tx1"/>
            </w14:solidFill>
          </w14:textFill>
        </w:rPr>
        <w:t>48.3</w:t>
      </w:r>
      <w:r>
        <w:rPr>
          <w:rFonts w:hint="eastAsia" w:ascii="宋体" w:hAnsi="宋体" w:cs="宋体"/>
          <w:color w:val="000000" w:themeColor="text1"/>
          <w:sz w:val="28"/>
          <w:szCs w:val="24"/>
          <w:highlight w:val="none"/>
          <w14:textFill>
            <w14:solidFill>
              <w14:schemeClr w14:val="tx1"/>
            </w14:solidFill>
          </w14:textFill>
        </w:rPr>
        <w:t>（1</w:t>
      </w:r>
      <w:r>
        <w:rPr>
          <w:rFonts w:hint="eastAsia" w:ascii="宋体" w:hAnsi="宋体" w:cs="宋体"/>
          <w:color w:val="000000" w:themeColor="text1"/>
          <w:sz w:val="28"/>
          <w:szCs w:val="24"/>
          <w:highlight w:val="none"/>
          <w:lang w:val="en-US"/>
          <w14:textFill>
            <w14:solidFill>
              <w14:schemeClr w14:val="tx1"/>
            </w14:solidFill>
          </w14:textFill>
        </w:rPr>
        <w:t>.5</w:t>
      </w:r>
      <w:r>
        <w:rPr>
          <w:rFonts w:hint="eastAsia" w:ascii="宋体" w:hAnsi="宋体" w:cs="宋体"/>
          <w:color w:val="000000" w:themeColor="text1"/>
          <w:sz w:val="28"/>
          <w:szCs w:val="24"/>
          <w:highlight w:val="none"/>
          <w14:textFill>
            <w14:solidFill>
              <w14:schemeClr w14:val="tx1"/>
            </w14:solidFill>
          </w14:textFill>
        </w:rPr>
        <w:t>;-1.</w:t>
      </w:r>
      <w:r>
        <w:rPr>
          <w:rFonts w:hint="eastAsia" w:ascii="宋体" w:hAnsi="宋体" w:cs="宋体"/>
          <w:color w:val="000000" w:themeColor="text1"/>
          <w:sz w:val="28"/>
          <w:szCs w:val="24"/>
          <w:highlight w:val="none"/>
          <w:lang w:val="en-US"/>
          <w14:textFill>
            <w14:solidFill>
              <w14:schemeClr w14:val="tx1"/>
            </w14:solidFill>
          </w14:textFill>
        </w:rPr>
        <w:t>4</w:t>
      </w:r>
      <w:r>
        <w:rPr>
          <w:rFonts w:hint="eastAsia" w:ascii="宋体" w:hAnsi="宋体" w:cs="宋体"/>
          <w:color w:val="000000" w:themeColor="text1"/>
          <w:sz w:val="28"/>
          <w:szCs w:val="24"/>
          <w:highlight w:val="none"/>
          <w14:textFill>
            <w14:solidFill>
              <w14:schemeClr w14:val="tx1"/>
            </w14:solidFill>
          </w14:textFill>
        </w:rPr>
        <w:t xml:space="preserve">）dB </w:t>
      </w:r>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计算得到计权隔声量 Rw+Ctr</w:t>
      </w:r>
      <w:r>
        <w:rPr>
          <w:rFonts w:hint="eastAsia" w:ascii="宋体" w:hAnsi="宋体" w:cs="宋体"/>
          <w:color w:val="000000" w:themeColor="text1"/>
          <w:sz w:val="28"/>
          <w:szCs w:val="24"/>
          <w:highlight w:val="none"/>
          <w:lang w:val="en-US"/>
          <w14:textFill>
            <w14:solidFill>
              <w14:schemeClr w14:val="tx1"/>
            </w14:solidFill>
          </w14:textFill>
        </w:rPr>
        <w:t>=</w:t>
      </w:r>
      <w:r>
        <w:rPr>
          <w:rFonts w:ascii="宋体" w:hAnsi="宋体" w:cs="宋体"/>
          <w:color w:val="000000" w:themeColor="text1"/>
          <w:sz w:val="28"/>
          <w:szCs w:val="24"/>
          <w:highlight w:val="none"/>
          <w:lang w:val="en-US"/>
          <w14:textFill>
            <w14:solidFill>
              <w14:schemeClr w14:val="tx1"/>
            </w14:solidFill>
          </w14:textFill>
        </w:rPr>
        <w:t>46.9</w:t>
      </w:r>
      <w:r>
        <w:rPr>
          <w:rFonts w:hint="eastAsia" w:ascii="宋体" w:hAnsi="宋体" w:cs="宋体"/>
          <w:color w:val="000000" w:themeColor="text1"/>
          <w:sz w:val="28"/>
          <w:szCs w:val="24"/>
          <w:highlight w:val="none"/>
          <w14:textFill>
            <w14:solidFill>
              <w14:schemeClr w14:val="tx1"/>
            </w14:solidFill>
          </w14:textFill>
        </w:rPr>
        <w:t>dB。</w:t>
      </w:r>
    </w:p>
    <w:p>
      <w:pPr>
        <w:pStyle w:val="6"/>
        <w:spacing w:line="360" w:lineRule="auto"/>
        <w:rPr>
          <w:color w:val="000000" w:themeColor="text1"/>
          <w:sz w:val="28"/>
          <w:highlight w:val="none"/>
          <w14:textFill>
            <w14:solidFill>
              <w14:schemeClr w14:val="tx1"/>
            </w14:solidFill>
          </w14:textFill>
        </w:rPr>
      </w:pPr>
      <w:bookmarkStart w:id="63" w:name="_Toc12803"/>
      <w:bookmarkStart w:id="64" w:name="_Toc26946"/>
      <w:r>
        <w:rPr>
          <w:rFonts w:hint="eastAsia"/>
          <w:color w:val="000000" w:themeColor="text1"/>
          <w:sz w:val="28"/>
          <w:highlight w:val="none"/>
          <w14:textFill>
            <w14:solidFill>
              <w14:schemeClr w14:val="tx1"/>
            </w14:solidFill>
          </w14:textFill>
        </w:rPr>
        <w:t>分户墙空气声计权隔声量+噪声频谱修正量：</w:t>
      </w:r>
      <w:bookmarkEnd w:id="63"/>
      <w:bookmarkEnd w:id="64"/>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本项目分户墙：</w:t>
      </w:r>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ab/>
      </w:r>
      <w:r>
        <w:rPr>
          <w:rFonts w:hint="eastAsia" w:ascii="宋体" w:hAnsi="宋体" w:cs="宋体"/>
          <w:color w:val="000000" w:themeColor="text1"/>
          <w:sz w:val="28"/>
          <w:szCs w:val="24"/>
          <w:highlight w:val="none"/>
          <w:lang w:val="en-US"/>
          <w14:textFill>
            <w14:solidFill>
              <w14:schemeClr w14:val="tx1"/>
            </w14:solidFill>
          </w14:textFill>
        </w:rPr>
        <w:t>水泥砂浆， 厚度 20mm</w:t>
      </w:r>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ab/>
      </w:r>
      <w:r>
        <w:rPr>
          <w:rFonts w:hint="eastAsia" w:ascii="宋体" w:hAnsi="宋体" w:cs="宋体"/>
          <w:color w:val="000000" w:themeColor="text1"/>
          <w:sz w:val="28"/>
          <w:szCs w:val="24"/>
          <w:highlight w:val="none"/>
          <w:lang w:val="en-US"/>
          <w14:textFill>
            <w14:solidFill>
              <w14:schemeClr w14:val="tx1"/>
            </w14:solidFill>
          </w14:textFill>
        </w:rPr>
        <w:t>重砂浆砌筑烧结页岩多孔砖/空心砖墙， 厚度 200mm</w:t>
      </w:r>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ab/>
      </w:r>
      <w:r>
        <w:rPr>
          <w:rFonts w:hint="eastAsia" w:ascii="宋体" w:hAnsi="宋体" w:cs="宋体"/>
          <w:color w:val="000000" w:themeColor="text1"/>
          <w:sz w:val="28"/>
          <w:szCs w:val="24"/>
          <w:highlight w:val="none"/>
          <w:lang w:val="en-US"/>
          <w14:textFill>
            <w14:solidFill>
              <w14:schemeClr w14:val="tx1"/>
            </w14:solidFill>
          </w14:textFill>
        </w:rPr>
        <w:t>水泥砂浆， 厚度 20mm</w:t>
      </w:r>
    </w:p>
    <w:p>
      <w:pPr>
        <w:spacing w:line="360" w:lineRule="auto"/>
        <w:ind w:firstLine="560" w:firstLineChars="200"/>
        <w:rPr>
          <w:rFonts w:ascii="宋体" w:hAnsi="宋体" w:cs="宋体"/>
          <w:color w:val="000000" w:themeColor="text1"/>
          <w:sz w:val="28"/>
          <w:szCs w:val="24"/>
          <w:highlight w:val="none"/>
          <w:lang w:val="en-US"/>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对于该项目构件空气计权隔声量采用计算的方式来验证。计算方式如下。</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3</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综合面密度计算表</w:t>
      </w:r>
    </w:p>
    <w:tbl>
      <w:tblPr>
        <w:tblStyle w:val="25"/>
        <w:tblW w:w="4998" w:type="pct"/>
        <w:tblInd w:w="0" w:type="dxa"/>
        <w:tblLayout w:type="autofit"/>
        <w:tblCellMar>
          <w:top w:w="0" w:type="dxa"/>
          <w:left w:w="0" w:type="dxa"/>
          <w:bottom w:w="0" w:type="dxa"/>
          <w:right w:w="0" w:type="dxa"/>
        </w:tblCellMar>
      </w:tblPr>
      <w:tblGrid>
        <w:gridCol w:w="2273"/>
        <w:gridCol w:w="2273"/>
        <w:gridCol w:w="2272"/>
        <w:gridCol w:w="2278"/>
      </w:tblGrid>
      <w:tr>
        <w:tblPrEx>
          <w:tblCellMar>
            <w:top w:w="0" w:type="dxa"/>
            <w:left w:w="0" w:type="dxa"/>
            <w:bottom w:w="0" w:type="dxa"/>
            <w:right w:w="0" w:type="dxa"/>
          </w:tblCellMar>
        </w:tblPrEx>
        <w:trPr>
          <w:trHeight w:val="780" w:hRule="atLeast"/>
        </w:trPr>
        <w:tc>
          <w:tcPr>
            <w:tcW w:w="2273" w:type="dxa"/>
            <w:tcBorders>
              <w:top w:val="single" w:color="000000" w:sz="8" w:space="0"/>
              <w:left w:val="single" w:color="000000" w:sz="8" w:space="0"/>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墙类型</w:t>
            </w:r>
          </w:p>
        </w:tc>
        <w:tc>
          <w:tcPr>
            <w:tcW w:w="2273" w:type="dxa"/>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水泥砂浆</w:t>
            </w:r>
          </w:p>
        </w:tc>
        <w:tc>
          <w:tcPr>
            <w:tcW w:w="2272" w:type="dxa"/>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重砂浆砌筑烧结页岩多孔砖/空心砖墙</w:t>
            </w:r>
          </w:p>
        </w:tc>
        <w:tc>
          <w:tcPr>
            <w:tcW w:w="2278" w:type="dxa"/>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水泥砂浆</w:t>
            </w:r>
          </w:p>
        </w:tc>
      </w:tr>
      <w:tr>
        <w:tblPrEx>
          <w:tblCellMar>
            <w:top w:w="0" w:type="dxa"/>
            <w:left w:w="0" w:type="dxa"/>
            <w:bottom w:w="0" w:type="dxa"/>
            <w:right w:w="0" w:type="dxa"/>
          </w:tblCellMar>
        </w:tblPrEx>
        <w:trPr>
          <w:trHeight w:val="285" w:hRule="atLeast"/>
        </w:trPr>
        <w:tc>
          <w:tcPr>
            <w:tcW w:w="22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厚度</w:t>
            </w:r>
            <w:r>
              <w:rPr>
                <w:color w:val="000000" w:themeColor="text1"/>
                <w:sz w:val="28"/>
                <w:szCs w:val="21"/>
                <w:highlight w:val="none"/>
                <w:lang w:val="en-US" w:bidi="ar"/>
                <w14:textFill>
                  <w14:solidFill>
                    <w14:schemeClr w14:val="tx1"/>
                  </w14:solidFill>
                </w14:textFill>
              </w:rPr>
              <w:t>(mm)</w:t>
            </w:r>
          </w:p>
        </w:tc>
        <w:tc>
          <w:tcPr>
            <w:tcW w:w="227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20</w:t>
            </w:r>
          </w:p>
        </w:tc>
        <w:tc>
          <w:tcPr>
            <w:tcW w:w="227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200</w:t>
            </w:r>
          </w:p>
        </w:tc>
        <w:tc>
          <w:tcPr>
            <w:tcW w:w="22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20</w:t>
            </w:r>
          </w:p>
        </w:tc>
      </w:tr>
      <w:tr>
        <w:tblPrEx>
          <w:tblCellMar>
            <w:top w:w="0" w:type="dxa"/>
            <w:left w:w="0" w:type="dxa"/>
            <w:bottom w:w="0" w:type="dxa"/>
            <w:right w:w="0" w:type="dxa"/>
          </w:tblCellMar>
        </w:tblPrEx>
        <w:trPr>
          <w:trHeight w:val="540" w:hRule="atLeast"/>
        </w:trPr>
        <w:tc>
          <w:tcPr>
            <w:tcW w:w="22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材料密度</w:t>
            </w:r>
            <w:r>
              <w:rPr>
                <w:color w:val="000000" w:themeColor="text1"/>
                <w:sz w:val="28"/>
                <w:szCs w:val="21"/>
                <w:highlight w:val="none"/>
                <w:lang w:val="en-US" w:bidi="ar"/>
                <w14:textFill>
                  <w14:solidFill>
                    <w14:schemeClr w14:val="tx1"/>
                  </w14:solidFill>
                </w14:textFill>
              </w:rPr>
              <w:t>(kg/m</w:t>
            </w:r>
            <w:r>
              <w:rPr>
                <w:color w:val="000000" w:themeColor="text1"/>
                <w:sz w:val="28"/>
                <w:szCs w:val="21"/>
                <w:highlight w:val="none"/>
                <w:vertAlign w:val="superscript"/>
                <w:lang w:val="en-US" w:bidi="ar"/>
                <w14:textFill>
                  <w14:solidFill>
                    <w14:schemeClr w14:val="tx1"/>
                  </w14:solidFill>
                </w14:textFill>
              </w:rPr>
              <w:t>3</w:t>
            </w:r>
            <w:r>
              <w:rPr>
                <w:color w:val="000000" w:themeColor="text1"/>
                <w:sz w:val="28"/>
                <w:szCs w:val="21"/>
                <w:highlight w:val="none"/>
                <w:lang w:val="en-US" w:bidi="ar"/>
                <w14:textFill>
                  <w14:solidFill>
                    <w14:schemeClr w14:val="tx1"/>
                  </w14:solidFill>
                </w14:textFill>
              </w:rPr>
              <w:t>)</w:t>
            </w:r>
          </w:p>
        </w:tc>
        <w:tc>
          <w:tcPr>
            <w:tcW w:w="227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1800</w:t>
            </w:r>
          </w:p>
        </w:tc>
        <w:tc>
          <w:tcPr>
            <w:tcW w:w="227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1400</w:t>
            </w:r>
          </w:p>
        </w:tc>
        <w:tc>
          <w:tcPr>
            <w:tcW w:w="227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4"/>
                <w:highlight w:val="none"/>
                <w:lang w:val="en-US" w:bidi="ar"/>
                <w14:textFill>
                  <w14:solidFill>
                    <w14:schemeClr w14:val="tx1"/>
                  </w14:solidFill>
                </w14:textFill>
              </w:rPr>
              <w:t>1800</w:t>
            </w:r>
          </w:p>
        </w:tc>
      </w:tr>
      <w:tr>
        <w:tblPrEx>
          <w:tblCellMar>
            <w:top w:w="0" w:type="dxa"/>
            <w:left w:w="0" w:type="dxa"/>
            <w:bottom w:w="0" w:type="dxa"/>
            <w:right w:w="0" w:type="dxa"/>
          </w:tblCellMar>
        </w:tblPrEx>
        <w:trPr>
          <w:trHeight w:val="540" w:hRule="atLeast"/>
        </w:trPr>
        <w:tc>
          <w:tcPr>
            <w:tcW w:w="227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综合面密度</w:t>
            </w:r>
            <w:r>
              <w:rPr>
                <w:color w:val="000000" w:themeColor="text1"/>
                <w:sz w:val="28"/>
                <w:szCs w:val="21"/>
                <w:highlight w:val="none"/>
                <w:lang w:val="en-US" w:bidi="ar"/>
                <w14:textFill>
                  <w14:solidFill>
                    <w14:schemeClr w14:val="tx1"/>
                  </w14:solidFill>
                </w14:textFill>
              </w:rPr>
              <w:t>(kg/m</w:t>
            </w:r>
            <w:r>
              <w:rPr>
                <w:color w:val="000000" w:themeColor="text1"/>
                <w:sz w:val="28"/>
                <w:szCs w:val="21"/>
                <w:highlight w:val="none"/>
                <w:vertAlign w:val="superscript"/>
                <w:lang w:val="en-US" w:bidi="ar"/>
                <w14:textFill>
                  <w14:solidFill>
                    <w14:schemeClr w14:val="tx1"/>
                  </w14:solidFill>
                </w14:textFill>
              </w:rPr>
              <w:t>2</w:t>
            </w:r>
            <w:r>
              <w:rPr>
                <w:color w:val="000000" w:themeColor="text1"/>
                <w:sz w:val="28"/>
                <w:szCs w:val="21"/>
                <w:highlight w:val="none"/>
                <w:lang w:val="en-US" w:bidi="ar"/>
                <w14:textFill>
                  <w14:solidFill>
                    <w14:schemeClr w14:val="tx1"/>
                  </w14:solidFill>
                </w14:textFill>
              </w:rPr>
              <w:t>)</w:t>
            </w:r>
          </w:p>
        </w:tc>
        <w:tc>
          <w:tcPr>
            <w:tcW w:w="6823"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color w:val="000000" w:themeColor="text1"/>
                <w:sz w:val="28"/>
                <w:szCs w:val="21"/>
                <w:highlight w:val="none"/>
                <w:lang w:val="en-US" w:bidi="ar"/>
                <w14:textFill>
                  <w14:solidFill>
                    <w14:schemeClr w14:val="tx1"/>
                  </w14:solidFill>
                </w14:textFill>
              </w:rPr>
              <w:t>408.0</w:t>
            </w:r>
          </w:p>
        </w:tc>
      </w:tr>
    </w:tbl>
    <w:p>
      <w:pPr>
        <w:spacing w:line="360" w:lineRule="auto"/>
        <w:ind w:firstLine="48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注：材料密度来自于《民用建筑热工设计规范》（GB50176-93）</w:t>
      </w:r>
      <w:r>
        <w:rPr>
          <w:rFonts w:hint="eastAsia"/>
          <w:color w:val="000000" w:themeColor="text1"/>
          <w:sz w:val="28"/>
          <w:highlight w:val="none"/>
          <w14:textFill>
            <w14:solidFill>
              <w14:schemeClr w14:val="tx1"/>
            </w14:solidFill>
          </w14:textFill>
        </w:rPr>
        <w:t>。</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根据《建筑隔声设计——空气隔声技术》中推荐的分频隔声量经验公式计算</w:t>
      </w:r>
      <w:r>
        <w:rPr>
          <w:color w:val="000000" w:themeColor="text1"/>
          <w:sz w:val="28"/>
          <w:highlight w:val="none"/>
          <w14:textFill>
            <w14:solidFill>
              <w14:schemeClr w14:val="tx1"/>
            </w14:solidFill>
          </w14:textFill>
        </w:rPr>
        <w:t>2</w:t>
      </w:r>
      <w:r>
        <w:rPr>
          <w:rFonts w:hint="eastAsia"/>
          <w:color w:val="000000" w:themeColor="text1"/>
          <w:sz w:val="28"/>
          <w:highlight w:val="none"/>
          <w14:textFill>
            <w14:solidFill>
              <w14:schemeClr w14:val="tx1"/>
            </w14:solidFill>
          </w14:textFill>
        </w:rPr>
        <w:t>3</w:t>
      </w:r>
      <w:r>
        <w:rPr>
          <w:color w:val="000000" w:themeColor="text1"/>
          <w:sz w:val="28"/>
          <w:highlight w:val="none"/>
          <w14:textFill>
            <w14:solidFill>
              <w14:schemeClr w14:val="tx1"/>
            </w14:solidFill>
          </w14:textFill>
        </w:rPr>
        <w:t xml:space="preserve">0mm </w:t>
      </w:r>
      <w:r>
        <w:rPr>
          <w:rFonts w:hint="eastAsia"/>
          <w:color w:val="000000" w:themeColor="text1"/>
          <w:sz w:val="28"/>
          <w:highlight w:val="none"/>
          <w14:textFill>
            <w14:solidFill>
              <w14:schemeClr w14:val="tx1"/>
            </w14:solidFill>
          </w14:textFill>
        </w:rPr>
        <w:t>厚（双面抹灰）</w:t>
      </w:r>
      <w:r>
        <w:rPr>
          <w:rFonts w:hint="eastAsia"/>
          <w:color w:val="000000" w:themeColor="text1"/>
          <w:kern w:val="0"/>
          <w:sz w:val="28"/>
          <w:highlight w:val="none"/>
          <w14:textFill>
            <w14:solidFill>
              <w14:schemeClr w14:val="tx1"/>
            </w14:solidFill>
          </w14:textFill>
        </w:rPr>
        <w:t>蒸压加气混凝土砌块</w:t>
      </w:r>
      <w:r>
        <w:rPr>
          <w:rFonts w:hint="eastAsia"/>
          <w:color w:val="000000" w:themeColor="text1"/>
          <w:sz w:val="28"/>
          <w:highlight w:val="none"/>
          <w14:textFill>
            <w14:solidFill>
              <w14:schemeClr w14:val="tx1"/>
            </w14:solidFill>
          </w14:textFill>
        </w:rPr>
        <w:t>各频率的隔声量，公式如下：</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2" o:spt="75" type="#_x0000_t75" style="height:15.05pt;width:123.05pt;" o:ole="t" filled="f" o:preferrelative="t" stroked="f" coordsize="21600,21600">
            <v:path/>
            <v:fill on="f" focussize="0,0"/>
            <v:stroke on="f" joinstyle="miter"/>
            <v:imagedata r:id="rId41" o:title=""/>
            <o:lock v:ext="edit" aspectratio="t"/>
            <w10:wrap type="none"/>
            <w10:anchorlock/>
          </v:shape>
          <o:OLEObject Type="Embed" ProgID="Equation.3" ShapeID="_x0000_i1042" DrawAspect="Content" ObjectID="_1468075742" r:id="rId45">
            <o:LockedField>false</o:LockedField>
          </o:OLEObject>
        </w:object>
      </w:r>
      <w:r>
        <w:rPr>
          <w:rFonts w:ascii="宋体" w:hAnsi="宋体"/>
          <w:color w:val="000000" w:themeColor="text1"/>
          <w:sz w:val="28"/>
          <w:highlight w:val="none"/>
          <w14:textFill>
            <w14:solidFill>
              <w14:schemeClr w14:val="tx1"/>
            </w14:solidFill>
          </w14:textFill>
        </w:rPr>
        <w:t>(m≥200kg/</w:t>
      </w:r>
      <w:r>
        <w:rPr>
          <w:rFonts w:hint="eastAsia" w:ascii="宋体" w:hAnsi="宋体"/>
          <w:color w:val="000000" w:themeColor="text1"/>
          <w:sz w:val="28"/>
          <w:highlight w:val="none"/>
          <w14:textFill>
            <w14:solidFill>
              <w14:schemeClr w14:val="tx1"/>
            </w14:solidFill>
          </w14:textFill>
        </w:rPr>
        <w:t>m</w:t>
      </w:r>
      <w:r>
        <w:rPr>
          <w:rFonts w:hint="eastAsia" w:ascii="宋体" w:hAnsi="宋体"/>
          <w:color w:val="000000" w:themeColor="text1"/>
          <w:sz w:val="28"/>
          <w:highlight w:val="none"/>
          <w:vertAlign w:val="superscript"/>
          <w14:textFill>
            <w14:solidFill>
              <w14:schemeClr w14:val="tx1"/>
            </w14:solidFill>
          </w14:textFill>
        </w:rPr>
        <w:t>2</w:t>
      </w:r>
      <w:r>
        <w:rPr>
          <w:rFonts w:ascii="宋体" w:hAnsi="宋体"/>
          <w:color w:val="000000" w:themeColor="text1"/>
          <w:sz w:val="28"/>
          <w:highlight w:val="none"/>
          <w14:textFill>
            <w14:solidFill>
              <w14:schemeClr w14:val="tx1"/>
            </w14:solidFill>
          </w14:textFill>
        </w:rPr>
        <w:t>)</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3" o:spt="75" type="#_x0000_t75" style="height:15.05pt;width:113pt;" o:ole="t" filled="f" o:preferrelative="t" stroked="f" coordsize="21600,21600">
            <v:path/>
            <v:fill on="f" focussize="0,0"/>
            <v:stroke on="f" joinstyle="miter"/>
            <v:imagedata r:id="rId43" o:title=""/>
            <o:lock v:ext="edit" aspectratio="t"/>
            <w10:wrap type="none"/>
            <w10:anchorlock/>
          </v:shape>
          <o:OLEObject Type="Embed" ProgID="Equation.3" ShapeID="_x0000_i1043" DrawAspect="Content" ObjectID="_1468075743" r:id="rId46">
            <o:LockedField>false</o:LockedField>
          </o:OLEObject>
        </w:object>
      </w:r>
      <w:r>
        <w:rPr>
          <w:rFonts w:hint="eastAsia" w:ascii="宋体" w:hAnsi="宋体"/>
          <w:color w:val="000000" w:themeColor="text1"/>
          <w:sz w:val="28"/>
          <w:szCs w:val="21"/>
          <w:highlight w:val="none"/>
          <w14:textFill>
            <w14:solidFill>
              <w14:schemeClr w14:val="tx1"/>
            </w14:solidFill>
          </w14:textFill>
        </w:rPr>
        <w:t>(m≤200 kg/m</w:t>
      </w:r>
      <w:r>
        <w:rPr>
          <w:rFonts w:hint="eastAsia" w:ascii="宋体" w:hAnsi="宋体"/>
          <w:color w:val="000000" w:themeColor="text1"/>
          <w:sz w:val="28"/>
          <w:szCs w:val="21"/>
          <w:highlight w:val="none"/>
          <w:vertAlign w:val="superscript"/>
          <w14:textFill>
            <w14:solidFill>
              <w14:schemeClr w14:val="tx1"/>
            </w14:solidFill>
          </w14:textFill>
        </w:rPr>
        <w:t>2</w:t>
      </w:r>
      <w:r>
        <w:rPr>
          <w:rFonts w:hint="eastAsia" w:ascii="宋体" w:hAnsi="宋体"/>
          <w:color w:val="000000" w:themeColor="text1"/>
          <w:sz w:val="28"/>
          <w:szCs w:val="21"/>
          <w:highlight w:val="none"/>
          <w14:textFill>
            <w14:solidFill>
              <w14:schemeClr w14:val="tx1"/>
            </w14:solidFill>
          </w14:textFill>
        </w:rPr>
        <w:t>)</w:t>
      </w:r>
    </w:p>
    <w:p>
      <w:pPr>
        <w:pStyle w:val="16"/>
        <w:spacing w:line="360" w:lineRule="auto"/>
        <w:ind w:firstLine="560"/>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根据该公式，计算得到各频率下墙体隔声量如表所示。</w:t>
      </w:r>
    </w:p>
    <w:p>
      <w:pPr>
        <w:pStyle w:val="16"/>
        <w:spacing w:line="360" w:lineRule="auto"/>
        <w:ind w:firstLine="560"/>
        <w:jc w:val="center"/>
        <w:rPr>
          <w:color w:val="000000" w:themeColor="text1"/>
          <w:sz w:val="28"/>
          <w:szCs w:val="18"/>
          <w:highlight w:val="none"/>
          <w14:textFill>
            <w14:solidFill>
              <w14:schemeClr w14:val="tx1"/>
            </w14:solidFill>
          </w14:textFill>
        </w:rPr>
      </w:pPr>
      <w:r>
        <w:rPr>
          <w:rFonts w:hint="eastAsia"/>
          <w:color w:val="000000" w:themeColor="text1"/>
          <w:sz w:val="28"/>
          <w:szCs w:val="18"/>
          <w:highlight w:val="none"/>
          <w14:textFill>
            <w14:solidFill>
              <w14:schemeClr w14:val="tx1"/>
            </w14:solidFill>
          </w14:textFill>
        </w:rPr>
        <w:t>表5.3.1-1各频率下空气声隔声量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185"/>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频率Hz</w:t>
            </w:r>
          </w:p>
        </w:tc>
        <w:tc>
          <w:tcPr>
            <w:tcW w:w="1185"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125</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250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500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1000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bidi="ar"/>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42.1 </w:t>
            </w:r>
          </w:p>
        </w:tc>
        <w:tc>
          <w:tcPr>
            <w:tcW w:w="1185"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45.4 </w:t>
            </w:r>
          </w:p>
        </w:tc>
        <w:tc>
          <w:tcPr>
            <w:tcW w:w="1420"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48.7 </w:t>
            </w:r>
          </w:p>
        </w:tc>
        <w:tc>
          <w:tcPr>
            <w:tcW w:w="1420"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52.0 </w:t>
            </w:r>
          </w:p>
        </w:tc>
        <w:tc>
          <w:tcPr>
            <w:tcW w:w="1420"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55.4 </w:t>
            </w:r>
          </w:p>
        </w:tc>
        <w:tc>
          <w:tcPr>
            <w:tcW w:w="1420" w:type="dxa"/>
          </w:tcPr>
          <w:p>
            <w:pPr>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42.1 </w:t>
            </w:r>
          </w:p>
        </w:tc>
      </w:tr>
    </w:tbl>
    <w:p>
      <w:pPr>
        <w:spacing w:line="360" w:lineRule="auto"/>
        <w:ind w:firstLine="560" w:firstLineChars="20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根据《建筑隔声评价标准》GB/T50121-2005，频谱修正量按以下公式进行计</w: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算</w:t>
      </w:r>
    </w:p>
    <w:p>
      <w:pPr>
        <w:spacing w:before="156" w:beforeLines="50" w:line="360" w:lineRule="auto"/>
        <w:ind w:firstLine="560" w:firstLineChars="200"/>
        <w:jc w:val="center"/>
        <w:rPr>
          <w:rFonts w:ascii="宋体" w:hAnsi="宋体"/>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drawing>
          <wp:inline distT="0" distB="0" distL="114300" distR="114300">
            <wp:extent cx="2847975" cy="495300"/>
            <wp:effectExtent l="0" t="0" r="9525" b="0"/>
            <wp:docPr id="3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1"/>
                    <pic:cNvPicPr>
                      <a:picLocks noChangeAspect="1"/>
                    </pic:cNvPicPr>
                  </pic:nvPicPr>
                  <pic:blipFill>
                    <a:blip r:embed="rId44"/>
                    <a:stretch>
                      <a:fillRect/>
                    </a:stretch>
                  </pic:blipFill>
                  <pic:spPr>
                    <a:xfrm>
                      <a:off x="0" y="0"/>
                      <a:ext cx="2847975" cy="495300"/>
                    </a:xfrm>
                    <a:prstGeom prst="rect">
                      <a:avLst/>
                    </a:prstGeom>
                    <a:noFill/>
                    <a:ln>
                      <a:noFill/>
                    </a:ln>
                  </pic:spPr>
                </pic:pic>
              </a:graphicData>
            </a:graphic>
          </wp:inline>
        </w:drawing>
      </w:r>
    </w:p>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式中，</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j——频谱序号，j=1 或 2，1 为计算 C 的频谱 1,2 为计算 Ctr 的频谱 2；</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Xw——按照 3．2 或 3．3 节规定的方法确定的单值评价量；</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i——100～3150Hz 的 1/3 倍频程或 125～2000Hz 的倍频程序号；</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Lij——表 3．1．3 中所给出的第 j 号频谱的第 i 个频带的声压级；</w:t>
      </w:r>
    </w:p>
    <w:p>
      <w:pPr>
        <w:spacing w:line="360" w:lineRule="auto"/>
        <w:ind w:firstLine="42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Xi——第 i 个频带的测量量，包括表 3．1．1-1 和表 3．1．1-2 中所列</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的各种测量量，精确到 0．1dB。</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4</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第i个频带（倍频程）的空气隔声基准值</w:t>
      </w:r>
    </w:p>
    <w:tbl>
      <w:tblPr>
        <w:tblStyle w:val="25"/>
        <w:tblW w:w="693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155"/>
        <w:gridCol w:w="1155"/>
        <w:gridCol w:w="1155"/>
        <w:gridCol w:w="1155"/>
        <w:gridCol w:w="1155"/>
        <w:gridCol w:w="115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频率（Hz）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125Hz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250Hz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500Hz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1000Hz</w:t>
            </w:r>
          </w:p>
        </w:tc>
        <w:tc>
          <w:tcPr>
            <w:tcW w:w="1155" w:type="dxa"/>
            <w:tcBorders>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2000Hz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Li1</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-22</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-15</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-9</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c>
          <w:tcPr>
            <w:tcW w:w="1155" w:type="dxa"/>
            <w:tcBorders>
              <w:top w:val="single" w:color="000000" w:sz="8" w:space="0"/>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Li2</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-14</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-7</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-4</w:t>
            </w:r>
          </w:p>
        </w:tc>
        <w:tc>
          <w:tcPr>
            <w:tcW w:w="1155" w:type="dxa"/>
            <w:tcBorders>
              <w:top w:val="single" w:color="000000" w:sz="8" w:space="0"/>
              <w:left w:val="nil"/>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r>
    </w:tbl>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根据该公式，对于构件隔声特性为</w:t>
      </w:r>
      <w:r>
        <w:rPr>
          <w:rFonts w:ascii="宋体" w:hAnsi="宋体" w:cs="宋体"/>
          <w:color w:val="000000" w:themeColor="text1"/>
          <w:sz w:val="28"/>
          <w:szCs w:val="24"/>
          <w:highlight w:val="none"/>
          <w:lang w:val="en-US"/>
          <w14:textFill>
            <w14:solidFill>
              <w14:schemeClr w14:val="tx1"/>
            </w14:solidFill>
          </w14:textFill>
        </w:rPr>
        <w:t>51</w:t>
      </w:r>
      <w:r>
        <w:rPr>
          <w:rFonts w:hint="eastAsia" w:ascii="宋体" w:hAnsi="宋体" w:cs="宋体"/>
          <w:color w:val="000000" w:themeColor="text1"/>
          <w:sz w:val="28"/>
          <w:szCs w:val="24"/>
          <w:highlight w:val="none"/>
          <w14:textFill>
            <w14:solidFill>
              <w14:schemeClr w14:val="tx1"/>
            </w14:solidFill>
          </w14:textFill>
        </w:rPr>
        <w:t>（</w:t>
      </w:r>
      <w:r>
        <w:rPr>
          <w:rFonts w:hint="eastAsia" w:ascii="宋体" w:hAnsi="宋体" w:cs="宋体"/>
          <w:color w:val="000000" w:themeColor="text1"/>
          <w:sz w:val="28"/>
          <w:szCs w:val="24"/>
          <w:highlight w:val="none"/>
          <w:lang w:val="en-US"/>
          <w14:textFill>
            <w14:solidFill>
              <w14:schemeClr w14:val="tx1"/>
            </w14:solidFill>
          </w14:textFill>
        </w:rPr>
        <w:t>1.5</w:t>
      </w:r>
      <w:r>
        <w:rPr>
          <w:rFonts w:hint="eastAsia" w:ascii="宋体" w:hAnsi="宋体" w:cs="宋体"/>
          <w:color w:val="000000" w:themeColor="text1"/>
          <w:sz w:val="28"/>
          <w:szCs w:val="24"/>
          <w:highlight w:val="none"/>
          <w14:textFill>
            <w14:solidFill>
              <w14:schemeClr w14:val="tx1"/>
            </w14:solidFill>
          </w14:textFill>
        </w:rPr>
        <w:t>;-1.</w:t>
      </w:r>
      <w:r>
        <w:rPr>
          <w:rFonts w:hint="eastAsia" w:ascii="宋体" w:hAnsi="宋体" w:cs="宋体"/>
          <w:color w:val="000000" w:themeColor="text1"/>
          <w:sz w:val="28"/>
          <w:szCs w:val="24"/>
          <w:highlight w:val="none"/>
          <w:lang w:val="en-US"/>
          <w14:textFill>
            <w14:solidFill>
              <w14:schemeClr w14:val="tx1"/>
            </w14:solidFill>
          </w14:textFill>
        </w:rPr>
        <w:t>4</w:t>
      </w:r>
      <w:r>
        <w:rPr>
          <w:rFonts w:hint="eastAsia" w:ascii="宋体" w:hAnsi="宋体" w:cs="宋体"/>
          <w:color w:val="000000" w:themeColor="text1"/>
          <w:sz w:val="28"/>
          <w:szCs w:val="24"/>
          <w:highlight w:val="none"/>
          <w14:textFill>
            <w14:solidFill>
              <w14:schemeClr w14:val="tx1"/>
            </w14:solidFill>
          </w14:textFill>
        </w:rPr>
        <w:t xml:space="preserve">）dB </w:t>
      </w:r>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计算得到计权隔声量 Rw+C</w:t>
      </w:r>
      <w:r>
        <w:rPr>
          <w:rFonts w:hint="eastAsia" w:ascii="宋体" w:hAnsi="宋体" w:cs="宋体"/>
          <w:color w:val="000000" w:themeColor="text1"/>
          <w:sz w:val="28"/>
          <w:szCs w:val="24"/>
          <w:highlight w:val="none"/>
          <w:lang w:val="en-US"/>
          <w14:textFill>
            <w14:solidFill>
              <w14:schemeClr w14:val="tx1"/>
            </w14:solidFill>
          </w14:textFill>
        </w:rPr>
        <w:t>=</w:t>
      </w:r>
      <w:r>
        <w:rPr>
          <w:rFonts w:ascii="宋体" w:hAnsi="宋体" w:cs="宋体"/>
          <w:color w:val="000000" w:themeColor="text1"/>
          <w:sz w:val="28"/>
          <w:szCs w:val="24"/>
          <w:highlight w:val="none"/>
          <w:lang w:val="en-US"/>
          <w14:textFill>
            <w14:solidFill>
              <w14:schemeClr w14:val="tx1"/>
            </w14:solidFill>
          </w14:textFill>
        </w:rPr>
        <w:t>52.5</w:t>
      </w:r>
      <w:r>
        <w:rPr>
          <w:rFonts w:hint="eastAsia" w:ascii="宋体" w:hAnsi="宋体" w:cs="宋体"/>
          <w:color w:val="000000" w:themeColor="text1"/>
          <w:sz w:val="28"/>
          <w:szCs w:val="24"/>
          <w:highlight w:val="none"/>
          <w14:textFill>
            <w14:solidFill>
              <w14:schemeClr w14:val="tx1"/>
            </w14:solidFill>
          </w14:textFill>
        </w:rPr>
        <w:t>dB。</w:t>
      </w:r>
    </w:p>
    <w:p>
      <w:pPr>
        <w:spacing w:line="360" w:lineRule="auto"/>
        <w:ind w:firstLine="480"/>
        <w:rPr>
          <w:color w:val="000000" w:themeColor="text1"/>
          <w:sz w:val="28"/>
          <w:highlight w:val="none"/>
          <w14:textFill>
            <w14:solidFill>
              <w14:schemeClr w14:val="tx1"/>
            </w14:solidFill>
          </w14:textFill>
        </w:rPr>
      </w:pPr>
    </w:p>
    <w:p>
      <w:pPr>
        <w:pStyle w:val="6"/>
        <w:spacing w:line="360" w:lineRule="auto"/>
        <w:rPr>
          <w:color w:val="000000" w:themeColor="text1"/>
          <w:sz w:val="28"/>
          <w:highlight w:val="none"/>
          <w14:textFill>
            <w14:solidFill>
              <w14:schemeClr w14:val="tx1"/>
            </w14:solidFill>
          </w14:textFill>
        </w:rPr>
      </w:pPr>
      <w:bookmarkStart w:id="65" w:name="_Toc27504"/>
      <w:bookmarkStart w:id="66" w:name="_Toc10174"/>
      <w:r>
        <w:rPr>
          <w:rFonts w:hint="eastAsia"/>
          <w:color w:val="000000" w:themeColor="text1"/>
          <w:sz w:val="28"/>
          <w:highlight w:val="none"/>
          <w14:textFill>
            <w14:solidFill>
              <w14:schemeClr w14:val="tx1"/>
            </w14:solidFill>
          </w14:textFill>
        </w:rPr>
        <w:t>门的构造及空气计权隔声量</w:t>
      </w:r>
      <w:bookmarkEnd w:id="65"/>
      <w:bookmarkEnd w:id="66"/>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根据建筑施工图及节能计算书，外门构造做法如下：</w:t>
      </w:r>
      <w:r>
        <w:rPr>
          <w:rFonts w:hint="eastAsia"/>
          <w:color w:val="000000" w:themeColor="text1"/>
          <w:sz w:val="28"/>
          <w:szCs w:val="24"/>
          <w:highlight w:val="none"/>
          <w:lang w:val="en-US"/>
          <w14:textFill>
            <w14:solidFill>
              <w14:schemeClr w14:val="tx1"/>
            </w14:solidFill>
          </w14:textFill>
        </w:rPr>
        <w:t>夹板门</w:t>
      </w:r>
      <w:r>
        <w:rPr>
          <w:rFonts w:hint="eastAsia"/>
          <w:color w:val="000000" w:themeColor="text1"/>
          <w:sz w:val="28"/>
          <w:szCs w:val="24"/>
          <w:highlight w:val="none"/>
          <w14:textFill>
            <w14:solidFill>
              <w14:schemeClr w14:val="tx1"/>
            </w14:solidFill>
          </w14:textFill>
        </w:rPr>
        <w:t>。</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《建筑声学设计》表3-11中给出了一般门窗的隔声量。表中双层门的隔声量一般在30～40 dB,本项目的分户门采用节能门，双层金属门板中间填充30 mm厚玻璃棉板，隔声效果好。</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在高噪声隔声中需要使用隔声门，提高门的隔声性能一方面需要提高门扇的隔声量，另一方面需要处理好门缝。提高门扇自身隔声量的方法有：</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ⅰ）增加门扇重量和厚度。但重量不能太大，否则难于开启，门框支撑也成问题；太厚也不行，影响开启，而且也受到锁具的限制。常规建筑隔声门重量在50 kg/m2以内，厚度不大于8 cm。</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ⅱ）使用不同密度的材料叠合而成，如多层钢板、密度板复合，各层的厚度也不同，防止共振和吻合效应。</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ⅲ）在门扇内形成空腹，内填吸声材料。隔声门门扇的隔声量可做到40～45 dB。</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门缝处理的方法有：</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ⅰ）将门框做成多道企口，并使用密封胶条或密封海绵密封。采用密封条时要保证门缝各处受压均匀，密封条处处受压。有时采用两道密封条，但必须保证门扇和门框的加工精度，配合良好。</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ⅱ）采用机械压紧装置，如压条等。门的周边安装压紧装置，锁门转动扳手时，通过机械联动将压紧装置压在门框上，可获得良好的密封性。对于下部没有门槛的隔声门，必须在门扇底安装这种机械密封装置，关门时，压条自动压在地面上密封。通过良好门缝处理的单隔声门隔声量可达到35～40 dB。</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结论：楼梯间分户门采用安全</w:t>
      </w:r>
      <w:r>
        <w:rPr>
          <w:rFonts w:hint="eastAsia"/>
          <w:color w:val="000000" w:themeColor="text1"/>
          <w:sz w:val="28"/>
          <w:szCs w:val="24"/>
          <w:highlight w:val="none"/>
          <w:lang w:val="en-US"/>
          <w14:textFill>
            <w14:solidFill>
              <w14:schemeClr w14:val="tx1"/>
            </w14:solidFill>
          </w14:textFill>
        </w:rPr>
        <w:t>夹板门</w:t>
      </w:r>
      <w:r>
        <w:rPr>
          <w:rFonts w:hint="eastAsia"/>
          <w:color w:val="000000" w:themeColor="text1"/>
          <w:sz w:val="28"/>
          <w:szCs w:val="24"/>
          <w:highlight w:val="none"/>
          <w14:textFill>
            <w14:solidFill>
              <w14:schemeClr w14:val="tx1"/>
            </w14:solidFill>
          </w14:textFill>
        </w:rPr>
        <w:t>，通过良好的门缝处理后隔声性能应能达到35～40 dB。即满足《湖南省绿色建筑评价标准》4.5.3条户门空气声计权隔声量不小于3</w:t>
      </w:r>
      <w:r>
        <w:rPr>
          <w:rFonts w:hint="eastAsia"/>
          <w:color w:val="000000" w:themeColor="text1"/>
          <w:sz w:val="28"/>
          <w:szCs w:val="24"/>
          <w:highlight w:val="none"/>
          <w:lang w:val="en-US"/>
          <w14:textFill>
            <w14:solidFill>
              <w14:schemeClr w14:val="tx1"/>
            </w14:solidFill>
          </w14:textFill>
        </w:rPr>
        <w:t>5</w:t>
      </w:r>
      <w:r>
        <w:rPr>
          <w:rFonts w:hint="eastAsia"/>
          <w:color w:val="000000" w:themeColor="text1"/>
          <w:sz w:val="28"/>
          <w:szCs w:val="24"/>
          <w:highlight w:val="none"/>
          <w14:textFill>
            <w14:solidFill>
              <w14:schemeClr w14:val="tx1"/>
            </w14:solidFill>
          </w14:textFill>
        </w:rPr>
        <w:t xml:space="preserve"> dB的要求。</w:t>
      </w:r>
    </w:p>
    <w:p>
      <w:pPr>
        <w:pStyle w:val="2"/>
        <w:ind w:firstLine="560"/>
        <w:rPr>
          <w:color w:val="000000" w:themeColor="text1"/>
          <w:sz w:val="28"/>
          <w:highlight w:val="none"/>
          <w14:textFill>
            <w14:solidFill>
              <w14:schemeClr w14:val="tx1"/>
            </w14:solidFill>
          </w14:textFill>
        </w:rPr>
      </w:pPr>
    </w:p>
    <w:p>
      <w:pPr>
        <w:pStyle w:val="6"/>
        <w:spacing w:line="360" w:lineRule="auto"/>
        <w:rPr>
          <w:color w:val="000000" w:themeColor="text1"/>
          <w:sz w:val="28"/>
          <w:highlight w:val="none"/>
          <w14:textFill>
            <w14:solidFill>
              <w14:schemeClr w14:val="tx1"/>
            </w14:solidFill>
          </w14:textFill>
        </w:rPr>
      </w:pPr>
      <w:bookmarkStart w:id="67" w:name="_Toc7645"/>
      <w:bookmarkStart w:id="68" w:name="_Toc4626"/>
      <w:r>
        <w:rPr>
          <w:rFonts w:hint="eastAsia"/>
          <w:color w:val="000000" w:themeColor="text1"/>
          <w:sz w:val="28"/>
          <w:highlight w:val="none"/>
          <w14:textFill>
            <w14:solidFill>
              <w14:schemeClr w14:val="tx1"/>
            </w14:solidFill>
          </w14:textFill>
        </w:rPr>
        <w:t>外窗空气声计权隔声量</w:t>
      </w:r>
      <w:bookmarkEnd w:id="67"/>
      <w:bookmarkEnd w:id="68"/>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外窗采用</w:t>
      </w:r>
      <w:r>
        <w:rPr>
          <w:color w:val="000000" w:themeColor="text1"/>
          <w:sz w:val="28"/>
          <w:highlight w:val="none"/>
          <w14:textFill>
            <w14:solidFill>
              <w14:schemeClr w14:val="tx1"/>
            </w14:solidFill>
          </w14:textFill>
        </w:rPr>
        <w:t>5</w:t>
      </w:r>
      <w:r>
        <w:rPr>
          <w:rFonts w:hint="eastAsia"/>
          <w:color w:val="000000" w:themeColor="text1"/>
          <w:sz w:val="28"/>
          <w:highlight w:val="none"/>
          <w14:textFill>
            <w14:solidFill>
              <w14:schemeClr w14:val="tx1"/>
            </w14:solidFill>
          </w14:textFill>
        </w:rPr>
        <w:t>高透光Low-E+</w:t>
      </w:r>
      <w:r>
        <w:rPr>
          <w:color w:val="000000" w:themeColor="text1"/>
          <w:sz w:val="28"/>
          <w:highlight w:val="none"/>
          <w14:textFill>
            <w14:solidFill>
              <w14:schemeClr w14:val="tx1"/>
            </w14:solidFill>
          </w14:textFill>
        </w:rPr>
        <w:t>9</w:t>
      </w:r>
      <w:r>
        <w:rPr>
          <w:rFonts w:hint="eastAsia"/>
          <w:color w:val="000000" w:themeColor="text1"/>
          <w:sz w:val="28"/>
          <w:highlight w:val="none"/>
          <w14:textFill>
            <w14:solidFill>
              <w14:schemeClr w14:val="tx1"/>
            </w14:solidFill>
          </w14:textFill>
        </w:rPr>
        <w:t>空气+</w:t>
      </w:r>
      <w:r>
        <w:rPr>
          <w:color w:val="000000" w:themeColor="text1"/>
          <w:sz w:val="28"/>
          <w:highlight w:val="none"/>
          <w14:textFill>
            <w14:solidFill>
              <w14:schemeClr w14:val="tx1"/>
            </w14:solidFill>
          </w14:textFill>
        </w:rPr>
        <w:t>5</w:t>
      </w:r>
      <w:r>
        <w:rPr>
          <w:rFonts w:hint="eastAsia"/>
          <w:color w:val="000000" w:themeColor="text1"/>
          <w:sz w:val="28"/>
          <w:highlight w:val="none"/>
          <w14:textFill>
            <w14:solidFill>
              <w14:schemeClr w14:val="tx1"/>
            </w14:solidFill>
          </w14:textFill>
        </w:rPr>
        <w:t>透明-隔热金属窗框（Kf=5.8W/(m2•K)框面积20%）(</w:t>
      </w:r>
      <w:r>
        <w:rPr>
          <w:color w:val="000000" w:themeColor="text1"/>
          <w:sz w:val="28"/>
          <w:highlight w:val="none"/>
          <w14:textFill>
            <w14:solidFill>
              <w14:schemeClr w14:val="tx1"/>
            </w14:solidFill>
          </w14:textFill>
        </w:rPr>
        <w:t>5</w:t>
      </w:r>
      <w:r>
        <w:rPr>
          <w:rFonts w:hint="eastAsia"/>
          <w:color w:val="000000" w:themeColor="text1"/>
          <w:sz w:val="28"/>
          <w:highlight w:val="none"/>
          <w14:textFill>
            <w14:solidFill>
              <w14:schemeClr w14:val="tx1"/>
            </w14:solidFill>
          </w14:textFill>
        </w:rPr>
        <w:t>+</w:t>
      </w:r>
      <w:r>
        <w:rPr>
          <w:color w:val="000000" w:themeColor="text1"/>
          <w:sz w:val="28"/>
          <w:highlight w:val="none"/>
          <w14:textFill>
            <w14:solidFill>
              <w14:schemeClr w14:val="tx1"/>
            </w14:solidFill>
          </w14:textFill>
        </w:rPr>
        <w:t>9</w:t>
      </w:r>
      <w:r>
        <w:rPr>
          <w:rFonts w:hint="eastAsia"/>
          <w:color w:val="000000" w:themeColor="text1"/>
          <w:sz w:val="28"/>
          <w:highlight w:val="none"/>
          <w14:textFill>
            <w14:solidFill>
              <w14:schemeClr w14:val="tx1"/>
            </w14:solidFill>
          </w14:textFill>
        </w:rPr>
        <w:t>A+</w:t>
      </w:r>
      <w:r>
        <w:rPr>
          <w:color w:val="000000" w:themeColor="text1"/>
          <w:sz w:val="28"/>
          <w:highlight w:val="none"/>
          <w14:textFill>
            <w14:solidFill>
              <w14:schemeClr w14:val="tx1"/>
            </w14:solidFill>
          </w14:textFill>
        </w:rPr>
        <w:t>5</w:t>
      </w:r>
      <w:r>
        <w:rPr>
          <w:rFonts w:hint="eastAsia"/>
          <w:color w:val="000000" w:themeColor="text1"/>
          <w:sz w:val="28"/>
          <w:highlight w:val="none"/>
          <w14:textFill>
            <w14:solidFill>
              <w14:schemeClr w14:val="tx1"/>
            </w14:solidFill>
          </w14:textFill>
        </w:rPr>
        <w:t>)，综合面密度计算计权隔声量已不适用，本报告采用类比构造法确定空气声计权隔声量。参考《建筑声学设计手册》——中国建筑科学研究院建筑物理所主编的资料，5+</w:t>
      </w:r>
      <w:r>
        <w:rPr>
          <w:color w:val="000000" w:themeColor="text1"/>
          <w:sz w:val="28"/>
          <w:highlight w:val="none"/>
          <w14:textFill>
            <w14:solidFill>
              <w14:schemeClr w14:val="tx1"/>
            </w14:solidFill>
          </w14:textFill>
        </w:rPr>
        <w:t>9</w:t>
      </w:r>
      <w:r>
        <w:rPr>
          <w:rFonts w:hint="eastAsia"/>
          <w:color w:val="000000" w:themeColor="text1"/>
          <w:sz w:val="28"/>
          <w:highlight w:val="none"/>
          <w14:textFill>
            <w14:solidFill>
              <w14:schemeClr w14:val="tx1"/>
            </w14:solidFill>
          </w14:textFill>
        </w:rPr>
        <w:t>A+5的外窗空气声计权隔声量约3</w:t>
      </w:r>
      <w:r>
        <w:rPr>
          <w:color w:val="000000" w:themeColor="text1"/>
          <w:sz w:val="28"/>
          <w:highlight w:val="none"/>
          <w14:textFill>
            <w14:solidFill>
              <w14:schemeClr w14:val="tx1"/>
            </w14:solidFill>
          </w14:textFill>
        </w:rPr>
        <w:t>2</w:t>
      </w:r>
      <w:r>
        <w:rPr>
          <w:rFonts w:hint="eastAsia"/>
          <w:color w:val="000000" w:themeColor="text1"/>
          <w:sz w:val="28"/>
          <w:highlight w:val="none"/>
          <w14:textFill>
            <w14:solidFill>
              <w14:schemeClr w14:val="tx1"/>
            </w14:solidFill>
          </w14:textFill>
        </w:rPr>
        <w:t>分贝，认定本项目外窗构造空气计权隔声量为3</w:t>
      </w:r>
      <w:r>
        <w:rPr>
          <w:color w:val="000000" w:themeColor="text1"/>
          <w:sz w:val="28"/>
          <w:highlight w:val="none"/>
          <w14:textFill>
            <w14:solidFill>
              <w14:schemeClr w14:val="tx1"/>
            </w14:solidFill>
          </w14:textFill>
        </w:rPr>
        <w:t>2</w:t>
      </w:r>
      <w:r>
        <w:rPr>
          <w:rFonts w:hint="eastAsia"/>
          <w:color w:val="000000" w:themeColor="text1"/>
          <w:sz w:val="28"/>
          <w:highlight w:val="none"/>
          <w14:textFill>
            <w14:solidFill>
              <w14:schemeClr w14:val="tx1"/>
            </w14:solidFill>
          </w14:textFill>
        </w:rPr>
        <w:t>分贝。</w:t>
      </w:r>
    </w:p>
    <w:p>
      <w:pPr>
        <w:pStyle w:val="13"/>
        <w:keepNext/>
        <w:spacing w:line="360" w:lineRule="auto"/>
        <w:jc w:val="center"/>
        <w:rPr>
          <w:rFonts w:eastAsia="宋体"/>
          <w:color w:val="000000" w:themeColor="text1"/>
          <w:sz w:val="28"/>
          <w:highlight w:val="none"/>
          <w14:textFill>
            <w14:solidFill>
              <w14:schemeClr w14:val="tx1"/>
            </w14:solidFill>
          </w14:textFill>
        </w:rPr>
      </w:pPr>
      <w:r>
        <w:rPr>
          <w:rFonts w:hint="eastAsia"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hint="eastAsia" w:eastAsia="宋体"/>
          <w:color w:val="000000" w:themeColor="text1"/>
          <w:sz w:val="28"/>
          <w:highlight w:val="none"/>
          <w14:textFill>
            <w14:solidFill>
              <w14:schemeClr w14:val="tx1"/>
            </w14:solidFill>
          </w14:textFill>
        </w:rPr>
        <w:instrText xml:space="preserve">SEQ 表 \* ARABIC</w:instrText>
      </w:r>
      <w:r>
        <w:rPr>
          <w:rFonts w:eastAsia="宋体"/>
          <w:color w:val="000000" w:themeColor="text1"/>
          <w:sz w:val="28"/>
          <w:highlight w:val="none"/>
          <w14:textFill>
            <w14:solidFill>
              <w14:schemeClr w14:val="tx1"/>
            </w14:solidFill>
          </w14:textFill>
        </w:rPr>
        <w:fldChar w:fldCharType="separate"/>
      </w:r>
      <w:r>
        <w:rPr>
          <w:rFonts w:hint="eastAsia" w:eastAsia="宋体"/>
          <w:color w:val="000000" w:themeColor="text1"/>
          <w:sz w:val="28"/>
          <w:highlight w:val="none"/>
          <w14:textFill>
            <w14:solidFill>
              <w14:schemeClr w14:val="tx1"/>
            </w14:solidFill>
          </w14:textFill>
        </w:rPr>
        <w:t>5</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门和窗的空气隔声量和计权隔声量Rw</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78"/>
        <w:gridCol w:w="1174"/>
        <w:gridCol w:w="1486"/>
        <w:gridCol w:w="712"/>
        <w:gridCol w:w="712"/>
        <w:gridCol w:w="712"/>
        <w:gridCol w:w="777"/>
        <w:gridCol w:w="777"/>
        <w:gridCol w:w="777"/>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8522" w:type="dxa"/>
            <w:gridSpan w:val="10"/>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门和窗的空气隔声量和计权隔声量Rw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 w:hRule="atLeast"/>
          <w:jc w:val="center"/>
        </w:trPr>
        <w:tc>
          <w:tcPr>
            <w:tcW w:w="778" w:type="dxa"/>
            <w:vMerge w:val="restart"/>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序号</w:t>
            </w:r>
          </w:p>
        </w:tc>
        <w:tc>
          <w:tcPr>
            <w:tcW w:w="1174" w:type="dxa"/>
            <w:vMerge w:val="restart"/>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类别</w:t>
            </w:r>
          </w:p>
        </w:tc>
        <w:tc>
          <w:tcPr>
            <w:tcW w:w="1486" w:type="dxa"/>
            <w:vMerge w:val="restart"/>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说明</w:t>
            </w:r>
          </w:p>
        </w:tc>
        <w:tc>
          <w:tcPr>
            <w:tcW w:w="4467" w:type="dxa"/>
            <w:gridSpan w:val="6"/>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空气声隔声量(dB)</w:t>
            </w:r>
          </w:p>
        </w:tc>
        <w:tc>
          <w:tcPr>
            <w:tcW w:w="617" w:type="dxa"/>
            <w:vMerge w:val="restart"/>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Rw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vMerge w:val="continue"/>
            <w:shd w:val="clear" w:color="auto" w:fill="BFBFBF"/>
            <w:vAlign w:val="center"/>
          </w:tcPr>
          <w:p>
            <w:pPr>
              <w:spacing w:line="360" w:lineRule="auto"/>
              <w:jc w:val="center"/>
              <w:rPr>
                <w:color w:val="000000" w:themeColor="text1"/>
                <w:sz w:val="28"/>
                <w:highlight w:val="none"/>
                <w14:textFill>
                  <w14:solidFill>
                    <w14:schemeClr w14:val="tx1"/>
                  </w14:solidFill>
                </w14:textFill>
              </w:rPr>
            </w:pPr>
          </w:p>
        </w:tc>
        <w:tc>
          <w:tcPr>
            <w:tcW w:w="1174" w:type="dxa"/>
            <w:vMerge w:val="continue"/>
            <w:shd w:val="clear" w:color="auto" w:fill="BFBFBF"/>
            <w:vAlign w:val="center"/>
          </w:tcPr>
          <w:p>
            <w:pPr>
              <w:spacing w:line="360" w:lineRule="auto"/>
              <w:jc w:val="center"/>
              <w:rPr>
                <w:color w:val="000000" w:themeColor="text1"/>
                <w:sz w:val="28"/>
                <w:highlight w:val="none"/>
                <w14:textFill>
                  <w14:solidFill>
                    <w14:schemeClr w14:val="tx1"/>
                  </w14:solidFill>
                </w14:textFill>
              </w:rPr>
            </w:pPr>
          </w:p>
        </w:tc>
        <w:tc>
          <w:tcPr>
            <w:tcW w:w="1486" w:type="dxa"/>
            <w:vMerge w:val="continue"/>
            <w:shd w:val="clear" w:color="auto" w:fill="BFBFBF"/>
            <w:vAlign w:val="center"/>
          </w:tcPr>
          <w:p>
            <w:pPr>
              <w:spacing w:line="360" w:lineRule="auto"/>
              <w:jc w:val="center"/>
              <w:rPr>
                <w:color w:val="000000" w:themeColor="text1"/>
                <w:sz w:val="28"/>
                <w:highlight w:val="none"/>
                <w14:textFill>
                  <w14:solidFill>
                    <w14:schemeClr w14:val="tx1"/>
                  </w14:solidFill>
                </w14:textFill>
              </w:rPr>
            </w:pPr>
          </w:p>
        </w:tc>
        <w:tc>
          <w:tcPr>
            <w:tcW w:w="712"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125</w:t>
            </w:r>
          </w:p>
        </w:tc>
        <w:tc>
          <w:tcPr>
            <w:tcW w:w="712"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250</w:t>
            </w:r>
          </w:p>
        </w:tc>
        <w:tc>
          <w:tcPr>
            <w:tcW w:w="712"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500</w:t>
            </w:r>
          </w:p>
        </w:tc>
        <w:tc>
          <w:tcPr>
            <w:tcW w:w="777"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1000</w:t>
            </w:r>
          </w:p>
        </w:tc>
        <w:tc>
          <w:tcPr>
            <w:tcW w:w="777"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2000</w:t>
            </w:r>
          </w:p>
        </w:tc>
        <w:tc>
          <w:tcPr>
            <w:tcW w:w="777" w:type="dxa"/>
            <w:shd w:val="clear" w:color="auto" w:fill="BFBFB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3150</w:t>
            </w:r>
          </w:p>
        </w:tc>
        <w:tc>
          <w:tcPr>
            <w:tcW w:w="617" w:type="dxa"/>
            <w:vMerge w:val="continue"/>
            <w:shd w:val="clear" w:color="auto" w:fill="BFBFBF"/>
            <w:vAlign w:val="center"/>
          </w:tcPr>
          <w:p>
            <w:pPr>
              <w:spacing w:line="360" w:lineRule="auto"/>
              <w:jc w:val="center"/>
              <w:rPr>
                <w:color w:val="000000" w:themeColor="text1"/>
                <w:sz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w:t>
            </w:r>
          </w:p>
        </w:tc>
        <w:tc>
          <w:tcPr>
            <w:tcW w:w="1174" w:type="dxa"/>
            <w:vMerge w:val="restart"/>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单层玻璃</w:t>
            </w: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3mm玻璃</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15.7</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20.5</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25.8</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31.1</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35.6</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4mm玻璃</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13.5</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23</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33.5</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35.9</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28.7</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5mm玻璃</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19.1</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24.6</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28.6</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34.6</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31.3</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4</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6mm玻璃</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19.6</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24</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30.9</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35.1</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28.4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34.4</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8mm玻璃</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20.3</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26.2</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33.9</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33.9</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27.3</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36.2</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6</w:t>
            </w:r>
          </w:p>
        </w:tc>
        <w:tc>
          <w:tcPr>
            <w:tcW w:w="1174" w:type="dxa"/>
            <w:vMerge w:val="restart"/>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中空玻璃</w:t>
            </w:r>
          </w:p>
        </w:tc>
        <w:tc>
          <w:tcPr>
            <w:tcW w:w="1486"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5/6/5</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24.5</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21.1</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27.4</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34.1</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36.1</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34.6</w:t>
            </w:r>
          </w:p>
        </w:tc>
        <w:tc>
          <w:tcPr>
            <w:tcW w:w="61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7</w:t>
            </w:r>
          </w:p>
        </w:tc>
        <w:tc>
          <w:tcPr>
            <w:tcW w:w="1174" w:type="dxa"/>
            <w:vMerge w:val="continue"/>
            <w:shd w:val="clear" w:color="auto" w:fill="auto"/>
            <w:vAlign w:val="center"/>
          </w:tcPr>
          <w:p>
            <w:pPr>
              <w:spacing w:line="360" w:lineRule="auto"/>
              <w:jc w:val="center"/>
              <w:rPr>
                <w:color w:val="000000" w:themeColor="text1"/>
                <w:sz w:val="28"/>
                <w:highlight w:val="none"/>
                <w14:textFill>
                  <w14:solidFill>
                    <w14:schemeClr w14:val="tx1"/>
                  </w14:solidFill>
                </w14:textFill>
              </w:rPr>
            </w:pPr>
          </w:p>
        </w:tc>
        <w:tc>
          <w:tcPr>
            <w:tcW w:w="1486"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5/9/5</w:t>
            </w:r>
          </w:p>
        </w:tc>
        <w:tc>
          <w:tcPr>
            <w:tcW w:w="712"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27.3</w:t>
            </w:r>
          </w:p>
        </w:tc>
        <w:tc>
          <w:tcPr>
            <w:tcW w:w="712"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19.8</w:t>
            </w:r>
          </w:p>
        </w:tc>
        <w:tc>
          <w:tcPr>
            <w:tcW w:w="712"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30.3</w:t>
            </w:r>
          </w:p>
        </w:tc>
        <w:tc>
          <w:tcPr>
            <w:tcW w:w="777"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35.1</w:t>
            </w:r>
          </w:p>
        </w:tc>
        <w:tc>
          <w:tcPr>
            <w:tcW w:w="777"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35.2</w:t>
            </w:r>
          </w:p>
        </w:tc>
        <w:tc>
          <w:tcPr>
            <w:tcW w:w="777"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33.8</w:t>
            </w:r>
          </w:p>
        </w:tc>
        <w:tc>
          <w:tcPr>
            <w:tcW w:w="617" w:type="dxa"/>
            <w:tcBorders>
              <w:bottom w:val="single" w:color="auto" w:sz="4" w:space="0"/>
            </w:tcBorders>
            <w:shd w:val="clear" w:color="auto" w:fill="auto"/>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8</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5/13/5</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26.9</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22.4</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35.8</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38.4</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35.8</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9</w:t>
            </w:r>
          </w:p>
        </w:tc>
        <w:tc>
          <w:tcPr>
            <w:tcW w:w="1174" w:type="dxa"/>
            <w:vMerge w:val="continue"/>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6/6/6</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32.2</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20.9</w:t>
            </w:r>
          </w:p>
        </w:tc>
        <w:tc>
          <w:tcPr>
            <w:tcW w:w="712"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27.2</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36.4</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31.1</w:t>
            </w:r>
          </w:p>
        </w:tc>
        <w:tc>
          <w:tcPr>
            <w:tcW w:w="77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38.9</w:t>
            </w:r>
          </w:p>
        </w:tc>
        <w:tc>
          <w:tcPr>
            <w:tcW w:w="617" w:type="dxa"/>
            <w:tcBorders>
              <w:bottom w:val="single" w:color="auto" w:sz="4" w:space="0"/>
            </w:tcBorders>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778"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10</w:t>
            </w:r>
          </w:p>
        </w:tc>
        <w:tc>
          <w:tcPr>
            <w:tcW w:w="1174" w:type="dxa"/>
            <w:vMerge w:val="continue"/>
            <w:shd w:val="clear" w:color="auto" w:fill="FFFFFF"/>
            <w:vAlign w:val="center"/>
          </w:tcPr>
          <w:p>
            <w:pPr>
              <w:spacing w:line="360" w:lineRule="auto"/>
              <w:jc w:val="center"/>
              <w:rPr>
                <w:color w:val="000000" w:themeColor="text1"/>
                <w:sz w:val="28"/>
                <w:highlight w:val="none"/>
                <w14:textFill>
                  <w14:solidFill>
                    <w14:schemeClr w14:val="tx1"/>
                  </w14:solidFill>
                </w14:textFill>
              </w:rPr>
            </w:pPr>
          </w:p>
        </w:tc>
        <w:tc>
          <w:tcPr>
            <w:tcW w:w="1486"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5/6/5/6/5</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35.3</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28.8</w:t>
            </w:r>
          </w:p>
        </w:tc>
        <w:tc>
          <w:tcPr>
            <w:tcW w:w="712"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31.7</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37.1</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35.5</w:t>
            </w:r>
          </w:p>
        </w:tc>
        <w:tc>
          <w:tcPr>
            <w:tcW w:w="77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36.6</w:t>
            </w:r>
          </w:p>
        </w:tc>
        <w:tc>
          <w:tcPr>
            <w:tcW w:w="617" w:type="dxa"/>
            <w:shd w:val="clear" w:color="auto" w:fill="FFFFFF"/>
            <w:vAlign w:val="center"/>
          </w:tcPr>
          <w:p>
            <w:pPr>
              <w:spacing w:line="360" w:lineRule="auto"/>
              <w:jc w:val="center"/>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36</w:t>
            </w:r>
          </w:p>
        </w:tc>
      </w:tr>
    </w:tbl>
    <w:p>
      <w:pPr>
        <w:spacing w:line="360" w:lineRule="auto"/>
        <w:ind w:firstLine="560" w:firstLineChars="200"/>
        <w:rPr>
          <w:rFonts w:ascii="宋体" w:hAnsi="宋体"/>
          <w:color w:val="000000" w:themeColor="text1"/>
          <w:sz w:val="28"/>
          <w:szCs w:val="24"/>
          <w:highlight w:val="none"/>
          <w14:textFill>
            <w14:solidFill>
              <w14:schemeClr w14:val="tx1"/>
            </w14:solidFill>
          </w14:textFill>
        </w:rPr>
      </w:pPr>
      <w:r>
        <w:rPr>
          <w:rFonts w:ascii="宋体" w:hAnsi="宋体"/>
          <w:color w:val="000000" w:themeColor="text1"/>
          <w:sz w:val="28"/>
          <w:szCs w:val="24"/>
          <w:highlight w:val="none"/>
          <w14:textFill>
            <w14:solidFill>
              <w14:schemeClr w14:val="tx1"/>
            </w14:solidFill>
          </w14:textFill>
        </w:rPr>
        <w:t>注</w:t>
      </w:r>
      <w:r>
        <w:rPr>
          <w:rFonts w:hint="eastAsia" w:ascii="宋体" w:hAnsi="宋体"/>
          <w:color w:val="000000" w:themeColor="text1"/>
          <w:sz w:val="28"/>
          <w:szCs w:val="24"/>
          <w:highlight w:val="none"/>
          <w14:textFill>
            <w14:solidFill>
              <w14:schemeClr w14:val="tx1"/>
            </w14:solidFill>
          </w14:textFill>
        </w:rPr>
        <w:t>：</w:t>
      </w:r>
      <w:r>
        <w:rPr>
          <w:rFonts w:ascii="宋体" w:hAnsi="宋体"/>
          <w:color w:val="000000" w:themeColor="text1"/>
          <w:sz w:val="28"/>
          <w:szCs w:val="24"/>
          <w:highlight w:val="none"/>
          <w14:textFill>
            <w14:solidFill>
              <w14:schemeClr w14:val="tx1"/>
            </w14:solidFill>
          </w14:textFill>
        </w:rPr>
        <w:t>隔声量数据来源于</w:t>
      </w:r>
      <w:r>
        <w:rPr>
          <w:rFonts w:hint="eastAsia" w:ascii="宋体" w:hAnsi="宋体"/>
          <w:color w:val="000000" w:themeColor="text1"/>
          <w:sz w:val="28"/>
          <w:szCs w:val="24"/>
          <w:highlight w:val="none"/>
          <w14:textFill>
            <w14:solidFill>
              <w14:schemeClr w14:val="tx1"/>
            </w14:solidFill>
          </w14:textFill>
        </w:rPr>
        <w:t>《建筑声学设计手册》。</w:t>
      </w:r>
    </w:p>
    <w:p>
      <w:pPr>
        <w:pStyle w:val="6"/>
        <w:spacing w:line="360" w:lineRule="auto"/>
        <w:rPr>
          <w:color w:val="000000" w:themeColor="text1"/>
          <w:sz w:val="28"/>
          <w:highlight w:val="none"/>
          <w14:textFill>
            <w14:solidFill>
              <w14:schemeClr w14:val="tx1"/>
            </w14:solidFill>
          </w14:textFill>
        </w:rPr>
      </w:pPr>
      <w:bookmarkStart w:id="69" w:name="_Toc32363"/>
      <w:bookmarkStart w:id="70" w:name="_Toc14509"/>
      <w:r>
        <w:rPr>
          <w:rFonts w:hint="eastAsia"/>
          <w:color w:val="000000" w:themeColor="text1"/>
          <w:sz w:val="28"/>
          <w:highlight w:val="none"/>
          <w14:textFill>
            <w14:solidFill>
              <w14:schemeClr w14:val="tx1"/>
            </w14:solidFill>
          </w14:textFill>
        </w:rPr>
        <w:t>楼板空气声计权隔声量</w:t>
      </w:r>
      <w:bookmarkEnd w:id="69"/>
      <w:bookmarkEnd w:id="70"/>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本项目楼板类型（自上而下）：</w:t>
      </w:r>
    </w:p>
    <w:p>
      <w:pPr>
        <w:spacing w:line="360" w:lineRule="auto"/>
        <w:ind w:firstLine="420" w:firstLineChars="15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水泥砂浆20mm+钢筋混凝土楼板100mm+水泥砂浆20mm</w:t>
      </w:r>
    </w:p>
    <w:p>
      <w:pPr>
        <w:spacing w:line="360" w:lineRule="auto"/>
        <w:ind w:firstLine="420" w:firstLineChars="15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对于该项目构件空气计权隔声量采用</w:t>
      </w:r>
      <w:r>
        <w:rPr>
          <w:color w:val="000000" w:themeColor="text1"/>
          <w:sz w:val="28"/>
          <w:szCs w:val="24"/>
          <w:highlight w:val="none"/>
          <w14:textFill>
            <w14:solidFill>
              <w14:schemeClr w14:val="tx1"/>
            </w14:solidFill>
          </w14:textFill>
        </w:rPr>
        <w:t>计算的方式来验证。</w:t>
      </w:r>
      <w:r>
        <w:rPr>
          <w:rFonts w:hint="eastAsia"/>
          <w:color w:val="000000" w:themeColor="text1"/>
          <w:sz w:val="28"/>
          <w:szCs w:val="24"/>
          <w:highlight w:val="none"/>
          <w14:textFill>
            <w14:solidFill>
              <w14:schemeClr w14:val="tx1"/>
            </w14:solidFill>
          </w14:textFill>
        </w:rPr>
        <w:t>计算方式</w:t>
      </w:r>
      <w:r>
        <w:rPr>
          <w:color w:val="000000" w:themeColor="text1"/>
          <w:sz w:val="28"/>
          <w:szCs w:val="24"/>
          <w:highlight w:val="none"/>
          <w14:textFill>
            <w14:solidFill>
              <w14:schemeClr w14:val="tx1"/>
            </w14:solidFill>
          </w14:textFill>
        </w:rPr>
        <w:t>如下。</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6</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综合面密度计算表</w:t>
      </w:r>
    </w:p>
    <w:tbl>
      <w:tblPr>
        <w:tblStyle w:val="25"/>
        <w:tblW w:w="4998" w:type="pct"/>
        <w:tblInd w:w="0" w:type="dxa"/>
        <w:tblLayout w:type="autofit"/>
        <w:tblCellMar>
          <w:top w:w="0" w:type="dxa"/>
          <w:left w:w="0" w:type="dxa"/>
          <w:bottom w:w="0" w:type="dxa"/>
          <w:right w:w="0" w:type="dxa"/>
        </w:tblCellMar>
      </w:tblPr>
      <w:tblGrid>
        <w:gridCol w:w="2272"/>
        <w:gridCol w:w="2273"/>
        <w:gridCol w:w="2273"/>
        <w:gridCol w:w="2278"/>
      </w:tblGrid>
      <w:tr>
        <w:tblPrEx>
          <w:tblCellMar>
            <w:top w:w="0" w:type="dxa"/>
            <w:left w:w="0" w:type="dxa"/>
            <w:bottom w:w="0" w:type="dxa"/>
            <w:right w:w="0" w:type="dxa"/>
          </w:tblCellMar>
        </w:tblPrEx>
        <w:trPr>
          <w:trHeight w:val="570" w:hRule="atLeast"/>
        </w:trPr>
        <w:tc>
          <w:tcPr>
            <w:tcW w:w="1249" w:type="pct"/>
            <w:tcBorders>
              <w:top w:val="single" w:color="000000" w:sz="8" w:space="0"/>
              <w:left w:val="single" w:color="000000" w:sz="8" w:space="0"/>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墙类型</w:t>
            </w:r>
          </w:p>
        </w:tc>
        <w:tc>
          <w:tcPr>
            <w:tcW w:w="1249"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w:t>
            </w:r>
          </w:p>
        </w:tc>
        <w:tc>
          <w:tcPr>
            <w:tcW w:w="1249"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钢筋混凝土楼板</w:t>
            </w:r>
          </w:p>
        </w:tc>
        <w:tc>
          <w:tcPr>
            <w:tcW w:w="1250"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w:t>
            </w:r>
          </w:p>
        </w:tc>
      </w:tr>
      <w:tr>
        <w:tblPrEx>
          <w:tblCellMar>
            <w:top w:w="0" w:type="dxa"/>
            <w:left w:w="0" w:type="dxa"/>
            <w:bottom w:w="0" w:type="dxa"/>
            <w:right w:w="0" w:type="dxa"/>
          </w:tblCellMar>
        </w:tblPrEx>
        <w:trPr>
          <w:trHeight w:val="285"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Style w:val="68"/>
                <w:rFonts w:hint="default"/>
                <w:color w:val="000000" w:themeColor="text1"/>
                <w:sz w:val="28"/>
                <w:highlight w:val="none"/>
                <w:lang w:val="en-US"/>
                <w14:textFill>
                  <w14:solidFill>
                    <w14:schemeClr w14:val="tx1"/>
                  </w14:solidFill>
                </w14:textFill>
              </w:rPr>
              <w:t>厚度</w:t>
            </w:r>
            <w:r>
              <w:rPr>
                <w:color w:val="000000" w:themeColor="text1"/>
                <w:sz w:val="28"/>
                <w:szCs w:val="21"/>
                <w:highlight w:val="none"/>
                <w:lang w:val="en-US"/>
                <w14:textFill>
                  <w14:solidFill>
                    <w14:schemeClr w14:val="tx1"/>
                  </w14:solidFill>
                </w14:textFill>
              </w:rPr>
              <w:t>(mm)</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100</w:t>
            </w:r>
          </w:p>
        </w:tc>
        <w:tc>
          <w:tcPr>
            <w:tcW w:w="1250"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r>
      <w:tr>
        <w:tblPrEx>
          <w:tblCellMar>
            <w:top w:w="0" w:type="dxa"/>
            <w:left w:w="0" w:type="dxa"/>
            <w:bottom w:w="0" w:type="dxa"/>
            <w:right w:w="0" w:type="dxa"/>
          </w:tblCellMar>
        </w:tblPrEx>
        <w:trPr>
          <w:trHeight w:val="540"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Style w:val="68"/>
                <w:rFonts w:hint="default"/>
                <w:color w:val="000000" w:themeColor="text1"/>
                <w:sz w:val="28"/>
                <w:highlight w:val="none"/>
                <w:lang w:val="en-US"/>
                <w14:textFill>
                  <w14:solidFill>
                    <w14:schemeClr w14:val="tx1"/>
                  </w14:solidFill>
                </w14:textFill>
              </w:rPr>
              <w:t>材料密度</w:t>
            </w:r>
            <w:r>
              <w:rPr>
                <w:color w:val="000000" w:themeColor="text1"/>
                <w:sz w:val="28"/>
                <w:szCs w:val="21"/>
                <w:highlight w:val="none"/>
                <w:lang w:val="en-US"/>
                <w14:textFill>
                  <w14:solidFill>
                    <w14:schemeClr w14:val="tx1"/>
                  </w14:solidFill>
                </w14:textFill>
              </w:rPr>
              <w:t>(kg/m</w:t>
            </w:r>
            <w:r>
              <w:rPr>
                <w:rStyle w:val="69"/>
                <w:color w:val="000000" w:themeColor="text1"/>
                <w:sz w:val="28"/>
                <w:highlight w:val="none"/>
                <w:lang w:val="en-US"/>
                <w14:textFill>
                  <w14:solidFill>
                    <w14:schemeClr w14:val="tx1"/>
                  </w14:solidFill>
                </w14:textFill>
              </w:rPr>
              <w:t>3</w:t>
            </w:r>
            <w:r>
              <w:rPr>
                <w:color w:val="000000" w:themeColor="text1"/>
                <w:sz w:val="28"/>
                <w:szCs w:val="21"/>
                <w:highlight w:val="none"/>
                <w:lang w:val="en-US"/>
                <w14:textFill>
                  <w14:solidFill>
                    <w14:schemeClr w14:val="tx1"/>
                  </w14:solidFill>
                </w14:textFill>
              </w:rPr>
              <w:t>)</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1800</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2500</w:t>
            </w:r>
          </w:p>
        </w:tc>
        <w:tc>
          <w:tcPr>
            <w:tcW w:w="1250"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1800</w:t>
            </w:r>
          </w:p>
        </w:tc>
      </w:tr>
      <w:tr>
        <w:tblPrEx>
          <w:tblCellMar>
            <w:top w:w="0" w:type="dxa"/>
            <w:left w:w="0" w:type="dxa"/>
            <w:bottom w:w="0" w:type="dxa"/>
            <w:right w:w="0" w:type="dxa"/>
          </w:tblCellMar>
        </w:tblPrEx>
        <w:trPr>
          <w:trHeight w:val="540"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综合面密度</w:t>
            </w:r>
            <w:r>
              <w:rPr>
                <w:color w:val="000000" w:themeColor="text1"/>
                <w:sz w:val="28"/>
                <w:szCs w:val="21"/>
                <w:highlight w:val="none"/>
                <w:lang w:val="en-US"/>
                <w14:textFill>
                  <w14:solidFill>
                    <w14:schemeClr w14:val="tx1"/>
                  </w14:solidFill>
                </w14:textFill>
              </w:rPr>
              <w:t>(kg/m</w:t>
            </w:r>
            <w:r>
              <w:rPr>
                <w:color w:val="000000" w:themeColor="text1"/>
                <w:sz w:val="28"/>
                <w:szCs w:val="21"/>
                <w:highlight w:val="none"/>
                <w:vertAlign w:val="superscript"/>
                <w:lang w:val="en-US"/>
                <w14:textFill>
                  <w14:solidFill>
                    <w14:schemeClr w14:val="tx1"/>
                  </w14:solidFill>
                </w14:textFill>
              </w:rPr>
              <w:t>2</w:t>
            </w:r>
            <w:r>
              <w:rPr>
                <w:color w:val="000000" w:themeColor="text1"/>
                <w:sz w:val="28"/>
                <w:szCs w:val="21"/>
                <w:highlight w:val="none"/>
                <w:lang w:val="en-US"/>
                <w14:textFill>
                  <w14:solidFill>
                    <w14:schemeClr w14:val="tx1"/>
                  </w14:solidFill>
                </w14:textFill>
              </w:rPr>
              <w:t>)</w:t>
            </w:r>
          </w:p>
        </w:tc>
        <w:tc>
          <w:tcPr>
            <w:tcW w:w="3750"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14:textFill>
                  <w14:solidFill>
                    <w14:schemeClr w14:val="tx1"/>
                  </w14:solidFill>
                </w14:textFill>
              </w:rPr>
            </w:pPr>
            <w:r>
              <w:rPr>
                <w:color w:val="000000" w:themeColor="text1"/>
                <w:sz w:val="28"/>
                <w:szCs w:val="21"/>
                <w:highlight w:val="none"/>
                <w:lang w:val="en-US"/>
                <w14:textFill>
                  <w14:solidFill>
                    <w14:schemeClr w14:val="tx1"/>
                  </w14:solidFill>
                </w14:textFill>
              </w:rPr>
              <w:t>322.0</w:t>
            </w:r>
          </w:p>
        </w:tc>
      </w:tr>
    </w:tbl>
    <w:p>
      <w:pPr>
        <w:spacing w:line="360" w:lineRule="auto"/>
        <w:ind w:firstLine="480"/>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注：材料密度来自于《民用建筑热工设计规范》（GB50176-93）</w:t>
      </w:r>
      <w:r>
        <w:rPr>
          <w:rFonts w:hint="eastAsia"/>
          <w:color w:val="000000" w:themeColor="text1"/>
          <w:sz w:val="28"/>
          <w:highlight w:val="none"/>
          <w14:textFill>
            <w14:solidFill>
              <w14:schemeClr w14:val="tx1"/>
            </w14:solidFill>
          </w14:textFill>
        </w:rPr>
        <w:t>。</w:t>
      </w:r>
    </w:p>
    <w:p>
      <w:pPr>
        <w:pStyle w:val="16"/>
        <w:spacing w:line="360" w:lineRule="auto"/>
        <w:ind w:firstLine="56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根据《建筑隔声设计——空气隔声技术》中推荐的分频隔声量经验公式计算</w:t>
      </w:r>
      <w:r>
        <w:rPr>
          <w:color w:val="000000" w:themeColor="text1"/>
          <w:sz w:val="28"/>
          <w:highlight w:val="none"/>
          <w14:textFill>
            <w14:solidFill>
              <w14:schemeClr w14:val="tx1"/>
            </w14:solidFill>
          </w14:textFill>
        </w:rPr>
        <w:t>2</w:t>
      </w:r>
      <w:r>
        <w:rPr>
          <w:rFonts w:hint="eastAsia"/>
          <w:color w:val="000000" w:themeColor="text1"/>
          <w:sz w:val="28"/>
          <w:highlight w:val="none"/>
          <w14:textFill>
            <w14:solidFill>
              <w14:schemeClr w14:val="tx1"/>
            </w14:solidFill>
          </w14:textFill>
        </w:rPr>
        <w:t>3</w:t>
      </w:r>
      <w:r>
        <w:rPr>
          <w:color w:val="000000" w:themeColor="text1"/>
          <w:sz w:val="28"/>
          <w:highlight w:val="none"/>
          <w14:textFill>
            <w14:solidFill>
              <w14:schemeClr w14:val="tx1"/>
            </w14:solidFill>
          </w14:textFill>
        </w:rPr>
        <w:t xml:space="preserve">0mm </w:t>
      </w:r>
      <w:r>
        <w:rPr>
          <w:rFonts w:hint="eastAsia"/>
          <w:color w:val="000000" w:themeColor="text1"/>
          <w:sz w:val="28"/>
          <w:highlight w:val="none"/>
          <w14:textFill>
            <w14:solidFill>
              <w14:schemeClr w14:val="tx1"/>
            </w14:solidFill>
          </w14:textFill>
        </w:rPr>
        <w:t>厚（双面抹灰）</w:t>
      </w:r>
      <w:r>
        <w:rPr>
          <w:rFonts w:hint="eastAsia"/>
          <w:color w:val="000000" w:themeColor="text1"/>
          <w:kern w:val="0"/>
          <w:sz w:val="28"/>
          <w:highlight w:val="none"/>
          <w14:textFill>
            <w14:solidFill>
              <w14:schemeClr w14:val="tx1"/>
            </w14:solidFill>
          </w14:textFill>
        </w:rPr>
        <w:t>蒸压加气混凝土砌块</w:t>
      </w:r>
      <w:r>
        <w:rPr>
          <w:rFonts w:hint="eastAsia"/>
          <w:color w:val="000000" w:themeColor="text1"/>
          <w:sz w:val="28"/>
          <w:highlight w:val="none"/>
          <w14:textFill>
            <w14:solidFill>
              <w14:schemeClr w14:val="tx1"/>
            </w14:solidFill>
          </w14:textFill>
        </w:rPr>
        <w:t>各频率的隔声量，公式如下：</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4" o:spt="75" type="#_x0000_t75" style="height:15.05pt;width:123.05pt;" o:ole="t" filled="f" o:preferrelative="t" stroked="f" coordsize="21600,21600">
            <v:path/>
            <v:fill on="f" focussize="0,0"/>
            <v:stroke on="f" joinstyle="miter"/>
            <v:imagedata r:id="rId41" o:title=""/>
            <o:lock v:ext="edit" aspectratio="t"/>
            <w10:wrap type="none"/>
            <w10:anchorlock/>
          </v:shape>
          <o:OLEObject Type="Embed" ProgID="Equation.3" ShapeID="_x0000_i1044" DrawAspect="Content" ObjectID="_1468075744" r:id="rId47">
            <o:LockedField>false</o:LockedField>
          </o:OLEObject>
        </w:object>
      </w:r>
      <w:r>
        <w:rPr>
          <w:rFonts w:ascii="宋体" w:hAnsi="宋体"/>
          <w:color w:val="000000" w:themeColor="text1"/>
          <w:sz w:val="28"/>
          <w:highlight w:val="none"/>
          <w14:textFill>
            <w14:solidFill>
              <w14:schemeClr w14:val="tx1"/>
            </w14:solidFill>
          </w14:textFill>
        </w:rPr>
        <w:t>(m≥200kg/</w:t>
      </w:r>
      <w:r>
        <w:rPr>
          <w:rFonts w:hint="eastAsia" w:ascii="宋体" w:hAnsi="宋体"/>
          <w:color w:val="000000" w:themeColor="text1"/>
          <w:sz w:val="28"/>
          <w:highlight w:val="none"/>
          <w14:textFill>
            <w14:solidFill>
              <w14:schemeClr w14:val="tx1"/>
            </w14:solidFill>
          </w14:textFill>
        </w:rPr>
        <w:t>m</w:t>
      </w:r>
      <w:r>
        <w:rPr>
          <w:rFonts w:hint="eastAsia" w:ascii="宋体" w:hAnsi="宋体"/>
          <w:color w:val="000000" w:themeColor="text1"/>
          <w:sz w:val="28"/>
          <w:highlight w:val="none"/>
          <w:vertAlign w:val="superscript"/>
          <w14:textFill>
            <w14:solidFill>
              <w14:schemeClr w14:val="tx1"/>
            </w14:solidFill>
          </w14:textFill>
        </w:rPr>
        <w:t>2</w:t>
      </w:r>
      <w:r>
        <w:rPr>
          <w:rFonts w:ascii="宋体" w:hAnsi="宋体"/>
          <w:color w:val="000000" w:themeColor="text1"/>
          <w:sz w:val="28"/>
          <w:highlight w:val="none"/>
          <w14:textFill>
            <w14:solidFill>
              <w14:schemeClr w14:val="tx1"/>
            </w14:solidFill>
          </w14:textFill>
        </w:rPr>
        <w:t>)</w:t>
      </w:r>
    </w:p>
    <w:p>
      <w:pPr>
        <w:spacing w:line="360" w:lineRule="auto"/>
        <w:jc w:val="center"/>
        <w:rPr>
          <w:rFonts w:ascii="宋体" w:hAnsi="宋体"/>
          <w:color w:val="000000" w:themeColor="text1"/>
          <w:sz w:val="28"/>
          <w:highlight w:val="none"/>
          <w14:textFill>
            <w14:solidFill>
              <w14:schemeClr w14:val="tx1"/>
            </w14:solidFill>
          </w14:textFill>
        </w:rPr>
      </w:pPr>
      <w:r>
        <w:rPr>
          <w:rFonts w:ascii="宋体" w:hAnsi="宋体"/>
          <w:b/>
          <w:color w:val="000000" w:themeColor="text1"/>
          <w:position w:val="-10"/>
          <w:sz w:val="28"/>
          <w:highlight w:val="none"/>
          <w14:textFill>
            <w14:solidFill>
              <w14:schemeClr w14:val="tx1"/>
            </w14:solidFill>
          </w14:textFill>
        </w:rPr>
        <w:object>
          <v:shape id="_x0000_i1045" o:spt="75" type="#_x0000_t75" style="height:15.05pt;width:113pt;" o:ole="t" filled="f" o:preferrelative="t" stroked="f" coordsize="21600,21600">
            <v:path/>
            <v:fill on="f" focussize="0,0"/>
            <v:stroke on="f" joinstyle="miter"/>
            <v:imagedata r:id="rId43" o:title=""/>
            <o:lock v:ext="edit" aspectratio="t"/>
            <w10:wrap type="none"/>
            <w10:anchorlock/>
          </v:shape>
          <o:OLEObject Type="Embed" ProgID="Equation.3" ShapeID="_x0000_i1045" DrawAspect="Content" ObjectID="_1468075745" r:id="rId48">
            <o:LockedField>false</o:LockedField>
          </o:OLEObject>
        </w:object>
      </w:r>
      <w:r>
        <w:rPr>
          <w:rFonts w:hint="eastAsia" w:ascii="宋体" w:hAnsi="宋体"/>
          <w:color w:val="000000" w:themeColor="text1"/>
          <w:sz w:val="28"/>
          <w:szCs w:val="21"/>
          <w:highlight w:val="none"/>
          <w14:textFill>
            <w14:solidFill>
              <w14:schemeClr w14:val="tx1"/>
            </w14:solidFill>
          </w14:textFill>
        </w:rPr>
        <w:t>(m≤200 kg/m</w:t>
      </w:r>
      <w:r>
        <w:rPr>
          <w:rFonts w:hint="eastAsia" w:ascii="宋体" w:hAnsi="宋体"/>
          <w:color w:val="000000" w:themeColor="text1"/>
          <w:sz w:val="28"/>
          <w:szCs w:val="21"/>
          <w:highlight w:val="none"/>
          <w:vertAlign w:val="superscript"/>
          <w14:textFill>
            <w14:solidFill>
              <w14:schemeClr w14:val="tx1"/>
            </w14:solidFill>
          </w14:textFill>
        </w:rPr>
        <w:t>2</w:t>
      </w:r>
      <w:r>
        <w:rPr>
          <w:rFonts w:hint="eastAsia" w:ascii="宋体" w:hAnsi="宋体"/>
          <w:color w:val="000000" w:themeColor="text1"/>
          <w:sz w:val="28"/>
          <w:szCs w:val="21"/>
          <w:highlight w:val="none"/>
          <w14:textFill>
            <w14:solidFill>
              <w14:schemeClr w14:val="tx1"/>
            </w14:solidFill>
          </w14:textFill>
        </w:rPr>
        <w:t>)</w:t>
      </w:r>
    </w:p>
    <w:p>
      <w:pPr>
        <w:pStyle w:val="16"/>
        <w:spacing w:line="360" w:lineRule="auto"/>
        <w:ind w:firstLine="560"/>
        <w:jc w:val="left"/>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根据该公式，计算得到各频率下墙体隔声量如表所示。</w:t>
      </w:r>
    </w:p>
    <w:p>
      <w:pPr>
        <w:pStyle w:val="16"/>
        <w:spacing w:line="360" w:lineRule="auto"/>
        <w:ind w:firstLine="560"/>
        <w:jc w:val="center"/>
        <w:rPr>
          <w:color w:val="000000" w:themeColor="text1"/>
          <w:sz w:val="28"/>
          <w:szCs w:val="18"/>
          <w:highlight w:val="none"/>
          <w14:textFill>
            <w14:solidFill>
              <w14:schemeClr w14:val="tx1"/>
            </w14:solidFill>
          </w14:textFill>
        </w:rPr>
      </w:pPr>
      <w:r>
        <w:rPr>
          <w:rFonts w:hint="eastAsia"/>
          <w:color w:val="000000" w:themeColor="text1"/>
          <w:sz w:val="28"/>
          <w:szCs w:val="18"/>
          <w:highlight w:val="none"/>
          <w14:textFill>
            <w14:solidFill>
              <w14:schemeClr w14:val="tx1"/>
            </w14:solidFill>
          </w14:textFill>
        </w:rPr>
        <w:t>表5.3.1-1各频率下空气声隔声量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185"/>
        <w:gridCol w:w="1420"/>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频率Hz</w:t>
            </w:r>
          </w:p>
        </w:tc>
        <w:tc>
          <w:tcPr>
            <w:tcW w:w="1185"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125</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250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500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1000</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隔声量dB</w:t>
            </w:r>
          </w:p>
        </w:tc>
        <w:tc>
          <w:tcPr>
            <w:tcW w:w="1185"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39.7 </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43.1 </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46.4 </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49.7 </w:t>
            </w:r>
          </w:p>
        </w:tc>
        <w:tc>
          <w:tcPr>
            <w:tcW w:w="1420" w:type="dxa"/>
          </w:tcPr>
          <w:p>
            <w:pPr>
              <w:spacing w:line="360" w:lineRule="auto"/>
              <w:jc w:val="center"/>
              <w:textAlignment w:val="top"/>
              <w:rPr>
                <w:color w:val="000000" w:themeColor="text1"/>
                <w:sz w:val="28"/>
                <w:szCs w:val="21"/>
                <w:highlight w:val="none"/>
                <w14:textFill>
                  <w14:solidFill>
                    <w14:schemeClr w14:val="tx1"/>
                  </w14:solidFill>
                </w14:textFill>
              </w:rPr>
            </w:pPr>
            <w:r>
              <w:rPr>
                <w:rFonts w:hint="eastAsia"/>
                <w:color w:val="000000" w:themeColor="text1"/>
                <w:sz w:val="28"/>
                <w:szCs w:val="21"/>
                <w:highlight w:val="none"/>
                <w14:textFill>
                  <w14:solidFill>
                    <w14:schemeClr w14:val="tx1"/>
                  </w14:solidFill>
                </w14:textFill>
              </w:rPr>
              <w:t xml:space="preserve">53.0 </w:t>
            </w:r>
          </w:p>
        </w:tc>
      </w:tr>
    </w:tbl>
    <w:p>
      <w:pPr>
        <w:spacing w:line="360" w:lineRule="auto"/>
        <w:ind w:firstLine="560" w:firstLineChars="20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根据《建筑隔声评价标准》GB/T50121-2005，频谱修正量按以下公式进行计</w: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算</w:t>
      </w:r>
    </w:p>
    <w:p>
      <w:pPr>
        <w:spacing w:before="156" w:beforeLines="50" w:line="360" w:lineRule="auto"/>
        <w:ind w:firstLine="560" w:firstLineChars="200"/>
        <w:jc w:val="center"/>
        <w:rPr>
          <w:rFonts w:ascii="宋体" w:hAnsi="宋体"/>
          <w:color w:val="000000" w:themeColor="text1"/>
          <w:sz w:val="28"/>
          <w:highlight w:val="none"/>
          <w14:textFill>
            <w14:solidFill>
              <w14:schemeClr w14:val="tx1"/>
            </w14:solidFill>
          </w14:textFill>
        </w:rPr>
      </w:pPr>
      <w:r>
        <w:rPr>
          <w:color w:val="000000" w:themeColor="text1"/>
          <w:sz w:val="28"/>
          <w:highlight w:val="none"/>
          <w:lang w:val="en-US"/>
          <w14:textFill>
            <w14:solidFill>
              <w14:schemeClr w14:val="tx1"/>
            </w14:solidFill>
          </w14:textFill>
        </w:rPr>
        <w:drawing>
          <wp:inline distT="0" distB="0" distL="114300" distR="114300">
            <wp:extent cx="2847975" cy="495300"/>
            <wp:effectExtent l="0" t="0" r="9525" b="0"/>
            <wp:docPr id="3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1"/>
                    <pic:cNvPicPr>
                      <a:picLocks noChangeAspect="1"/>
                    </pic:cNvPicPr>
                  </pic:nvPicPr>
                  <pic:blipFill>
                    <a:blip r:embed="rId44"/>
                    <a:stretch>
                      <a:fillRect/>
                    </a:stretch>
                  </pic:blipFill>
                  <pic:spPr>
                    <a:xfrm>
                      <a:off x="0" y="0"/>
                      <a:ext cx="2847975" cy="495300"/>
                    </a:xfrm>
                    <a:prstGeom prst="rect">
                      <a:avLst/>
                    </a:prstGeom>
                    <a:noFill/>
                    <a:ln>
                      <a:noFill/>
                    </a:ln>
                  </pic:spPr>
                </pic:pic>
              </a:graphicData>
            </a:graphic>
          </wp:inline>
        </w:drawing>
      </w:r>
    </w:p>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式中，</w:t>
      </w:r>
    </w:p>
    <w:p>
      <w:pPr>
        <w:spacing w:line="360" w:lineRule="auto"/>
        <w:ind w:firstLine="42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j——频谱序号，j=1 或 2，1 为计算 C 的频谱 1,2 为计算 Ctr 的频谱 2；</w:t>
      </w:r>
    </w:p>
    <w:p>
      <w:pPr>
        <w:spacing w:line="360" w:lineRule="auto"/>
        <w:ind w:firstLine="42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Xw——按照 3．2 或 3．3 节规定的方法确定的单值评价量；</w:t>
      </w:r>
    </w:p>
    <w:p>
      <w:pPr>
        <w:spacing w:line="360" w:lineRule="auto"/>
        <w:ind w:firstLine="42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i——100～3150Hz 的 1/3 倍频程或 125～2000Hz 的倍频程序号；</w:t>
      </w:r>
    </w:p>
    <w:p>
      <w:pPr>
        <w:spacing w:line="360" w:lineRule="auto"/>
        <w:ind w:firstLine="42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Lij——表 3．1．3 中所给出的第 j 号频谱的第 i 个频带的声压级；</w:t>
      </w:r>
    </w:p>
    <w:p>
      <w:pPr>
        <w:spacing w:line="360" w:lineRule="auto"/>
        <w:ind w:firstLine="420"/>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Xi——第 i 个频带的测量量，包括表 3．1．1-1 和表 3．1．1-2 中所列</w: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的各种测量量，精确到 0．1dB。</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7</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第i个频带（倍频程）的空气隔声基准值</w:t>
      </w:r>
    </w:p>
    <w:tbl>
      <w:tblPr>
        <w:tblStyle w:val="25"/>
        <w:tblW w:w="693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155"/>
        <w:gridCol w:w="1155"/>
        <w:gridCol w:w="1155"/>
        <w:gridCol w:w="1155"/>
        <w:gridCol w:w="1155"/>
        <w:gridCol w:w="115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频率（Hz）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125Hz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250Hz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500Hz</w:t>
            </w:r>
          </w:p>
        </w:tc>
        <w:tc>
          <w:tcPr>
            <w:tcW w:w="1155" w:type="dxa"/>
            <w:tcBorders>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1000Hz</w:t>
            </w:r>
          </w:p>
        </w:tc>
        <w:tc>
          <w:tcPr>
            <w:tcW w:w="1155" w:type="dxa"/>
            <w:tcBorders>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2000Hz</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Li1</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-22</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-15</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-9</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c>
          <w:tcPr>
            <w:tcW w:w="1155" w:type="dxa"/>
            <w:tcBorders>
              <w:top w:val="single" w:color="000000" w:sz="8" w:space="0"/>
              <w:left w:val="nil"/>
              <w:bottom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jc w:val="center"/>
        </w:trPr>
        <w:tc>
          <w:tcPr>
            <w:tcW w:w="1155" w:type="dxa"/>
            <w:tcBorders>
              <w:top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Li2</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-14</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-10</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-7</w:t>
            </w:r>
          </w:p>
        </w:tc>
        <w:tc>
          <w:tcPr>
            <w:tcW w:w="1155" w:type="dxa"/>
            <w:tcBorders>
              <w:top w:val="single" w:color="000000" w:sz="8" w:space="0"/>
              <w:left w:val="nil"/>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-4</w:t>
            </w:r>
          </w:p>
        </w:tc>
        <w:tc>
          <w:tcPr>
            <w:tcW w:w="1155" w:type="dxa"/>
            <w:tcBorders>
              <w:top w:val="single" w:color="000000" w:sz="8" w:space="0"/>
              <w:left w:val="nil"/>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-6</w:t>
            </w:r>
          </w:p>
        </w:tc>
      </w:tr>
    </w:tbl>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根据该公式，对于构件隔声特性为</w:t>
      </w:r>
      <w:r>
        <w:rPr>
          <w:rFonts w:ascii="宋体" w:hAnsi="宋体" w:cs="宋体"/>
          <w:color w:val="000000" w:themeColor="text1"/>
          <w:sz w:val="28"/>
          <w:szCs w:val="24"/>
          <w:highlight w:val="none"/>
          <w:lang w:val="en-US"/>
          <w14:textFill>
            <w14:solidFill>
              <w14:schemeClr w14:val="tx1"/>
            </w14:solidFill>
          </w14:textFill>
        </w:rPr>
        <w:t>48.7</w:t>
      </w:r>
      <w:r>
        <w:rPr>
          <w:rFonts w:hint="eastAsia" w:ascii="宋体" w:hAnsi="宋体" w:cs="宋体"/>
          <w:color w:val="000000" w:themeColor="text1"/>
          <w:sz w:val="28"/>
          <w:szCs w:val="24"/>
          <w:highlight w:val="none"/>
          <w14:textFill>
            <w14:solidFill>
              <w14:schemeClr w14:val="tx1"/>
            </w14:solidFill>
          </w14:textFill>
        </w:rPr>
        <w:t>（1.</w:t>
      </w:r>
      <w:r>
        <w:rPr>
          <w:rFonts w:hint="eastAsia" w:ascii="宋体" w:hAnsi="宋体" w:cs="宋体"/>
          <w:color w:val="000000" w:themeColor="text1"/>
          <w:sz w:val="28"/>
          <w:szCs w:val="24"/>
          <w:highlight w:val="none"/>
          <w:lang w:val="en-US"/>
          <w14:textFill>
            <w14:solidFill>
              <w14:schemeClr w14:val="tx1"/>
            </w14:solidFill>
          </w14:textFill>
        </w:rPr>
        <w:t>5</w:t>
      </w:r>
      <w:r>
        <w:rPr>
          <w:rFonts w:hint="eastAsia" w:ascii="宋体" w:hAnsi="宋体" w:cs="宋体"/>
          <w:color w:val="000000" w:themeColor="text1"/>
          <w:sz w:val="28"/>
          <w:szCs w:val="24"/>
          <w:highlight w:val="none"/>
          <w14:textFill>
            <w14:solidFill>
              <w14:schemeClr w14:val="tx1"/>
            </w14:solidFill>
          </w14:textFill>
        </w:rPr>
        <w:t xml:space="preserve">;-1.5）dB </w:t>
      </w:r>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计算得到计权隔声量 Rw+C=</w:t>
      </w:r>
      <w:r>
        <w:rPr>
          <w:rFonts w:ascii="宋体" w:hAnsi="宋体" w:cs="宋体"/>
          <w:color w:val="000000" w:themeColor="text1"/>
          <w:sz w:val="28"/>
          <w:szCs w:val="24"/>
          <w:highlight w:val="none"/>
          <w:lang w:val="en-US"/>
          <w14:textFill>
            <w14:solidFill>
              <w14:schemeClr w14:val="tx1"/>
            </w14:solidFill>
          </w14:textFill>
        </w:rPr>
        <w:t>50.2</w:t>
      </w:r>
      <w:r>
        <w:rPr>
          <w:rFonts w:hint="eastAsia" w:ascii="宋体" w:hAnsi="宋体" w:cs="宋体"/>
          <w:color w:val="000000" w:themeColor="text1"/>
          <w:sz w:val="28"/>
          <w:szCs w:val="24"/>
          <w:highlight w:val="none"/>
          <w14:textFill>
            <w14:solidFill>
              <w14:schemeClr w14:val="tx1"/>
            </w14:solidFill>
          </w14:textFill>
        </w:rPr>
        <w:t>dB。</w:t>
      </w:r>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p>
    <w:p>
      <w:pPr>
        <w:pStyle w:val="6"/>
        <w:spacing w:line="360" w:lineRule="auto"/>
        <w:rPr>
          <w:color w:val="000000" w:themeColor="text1"/>
          <w:sz w:val="28"/>
          <w:highlight w:val="none"/>
          <w14:textFill>
            <w14:solidFill>
              <w14:schemeClr w14:val="tx1"/>
            </w14:solidFill>
          </w14:textFill>
        </w:rPr>
      </w:pPr>
      <w:bookmarkStart w:id="71" w:name="_Toc20301"/>
      <w:bookmarkStart w:id="72" w:name="_Toc31094"/>
      <w:r>
        <w:rPr>
          <w:rFonts w:hint="eastAsia"/>
          <w:color w:val="000000" w:themeColor="text1"/>
          <w:sz w:val="28"/>
          <w:highlight w:val="none"/>
          <w14:textFill>
            <w14:solidFill>
              <w14:schemeClr w14:val="tx1"/>
            </w14:solidFill>
          </w14:textFill>
        </w:rPr>
        <w:t>楼板撞击声隔声量</w:t>
      </w:r>
      <w:bookmarkEnd w:id="71"/>
      <w:bookmarkEnd w:id="72"/>
    </w:p>
    <w:p>
      <w:pPr>
        <w:spacing w:line="360" w:lineRule="auto"/>
        <w:ind w:firstLine="420" w:firstLineChars="150"/>
        <w:rPr>
          <w:color w:val="000000" w:themeColor="text1"/>
          <w:sz w:val="28"/>
          <w:szCs w:val="24"/>
          <w:highlight w:val="none"/>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建筑中的撞击声由振动物体直接撞击结构物（楼板或墙），使之产生振动，沿着结构传播开而产生的噪声。其</w:t>
      </w:r>
      <w:r>
        <w:rPr>
          <w:color w:val="000000" w:themeColor="text1"/>
          <w:sz w:val="28"/>
          <w:szCs w:val="24"/>
          <w:highlight w:val="none"/>
          <w14:textFill>
            <w14:solidFill>
              <w14:schemeClr w14:val="tx1"/>
            </w14:solidFill>
          </w14:textFill>
        </w:rPr>
        <w:t>主要有人员活动产生的楼板撞击声，设备、管道安装不当产生的固体传声等。建筑中噪声控制的任务就是通过一定的降噪减振措施，使房间内部噪声达到允许噪声标准。</w:t>
      </w:r>
    </w:p>
    <w:p>
      <w:pPr>
        <w:numPr>
          <w:ilvl w:val="0"/>
          <w:numId w:val="2"/>
        </w:numPr>
        <w:spacing w:line="360" w:lineRule="auto"/>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撞击声隔声特性</w:t>
      </w:r>
    </w:p>
    <w:p>
      <w:pPr>
        <w:spacing w:line="360" w:lineRule="auto"/>
        <w:ind w:firstLine="420" w:firstLineChars="15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当标准打击器在面积为无限大的混凝土板上撞击时，楼下房间的撞击声级大致为：</w:t>
      </w:r>
    </w:p>
    <w:p>
      <w:pPr>
        <w:spacing w:line="360" w:lineRule="auto"/>
        <w:ind w:firstLine="420" w:firstLineChars="150"/>
        <w:jc w:val="center"/>
        <w:rPr>
          <w:color w:val="000000" w:themeColor="text1"/>
          <w:sz w:val="28"/>
          <w:szCs w:val="24"/>
          <w:highlight w:val="none"/>
          <w:lang w:val="en-US"/>
          <w14:textFill>
            <w14:solidFill>
              <w14:schemeClr w14:val="tx1"/>
            </w14:solidFill>
          </w14:textFill>
        </w:rPr>
      </w:pPr>
      <w:r>
        <w:rPr>
          <w:color w:val="000000" w:themeColor="text1"/>
          <w:position w:val="-42"/>
          <w:sz w:val="28"/>
          <w:szCs w:val="24"/>
          <w:highlight w:val="none"/>
          <w:lang w:val="en-US"/>
          <w14:textFill>
            <w14:solidFill>
              <w14:schemeClr w14:val="tx1"/>
            </w14:solidFill>
          </w14:textFill>
        </w:rPr>
        <w:object>
          <v:shape id="_x0000_i1046" o:spt="75" type="#_x0000_t75" style="height:46.05pt;width:139pt;" o:ole="t" filled="f" o:preferrelative="t" stroked="f" coordsize="21600,21600">
            <v:path/>
            <v:fill on="f" focussize="0,0"/>
            <v:stroke on="f" joinstyle="miter"/>
            <v:imagedata r:id="rId50" o:title=""/>
            <o:lock v:ext="edit" aspectratio="t"/>
            <w10:wrap type="none"/>
            <w10:anchorlock/>
          </v:shape>
          <o:OLEObject Type="Embed" ProgID="Equation.3" ShapeID="_x0000_i1046" DrawAspect="Content" ObjectID="_1468075746" r:id="rId49">
            <o:LockedField>false</o:LockedField>
          </o:OLEObject>
        </w:object>
      </w:r>
    </w:p>
    <w:p>
      <w:pPr>
        <w:spacing w:line="360" w:lineRule="auto"/>
        <w:ind w:firstLine="420" w:firstLineChars="15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式中</w:t>
      </w:r>
      <w:r>
        <w:rPr>
          <w:rFonts w:hint="eastAsia"/>
          <w:color w:val="000000" w:themeColor="text1"/>
          <w:sz w:val="28"/>
          <w:szCs w:val="24"/>
          <w:highlight w:val="none"/>
          <w:lang w:val="en-US"/>
          <w14:textFill>
            <w14:solidFill>
              <w14:schemeClr w14:val="tx1"/>
            </w14:solidFill>
          </w14:textFill>
        </w:rPr>
        <w:tab/>
      </w:r>
      <w:r>
        <w:rPr>
          <w:color w:val="000000" w:themeColor="text1"/>
          <w:position w:val="-12"/>
          <w:sz w:val="28"/>
          <w:szCs w:val="24"/>
          <w:highlight w:val="none"/>
          <w:lang w:val="en-US"/>
          <w14:textFill>
            <w14:solidFill>
              <w14:schemeClr w14:val="tx1"/>
            </w14:solidFill>
          </w14:textFill>
        </w:rPr>
        <w:object>
          <v:shape id="_x0000_i1047" o:spt="75" type="#_x0000_t75" style="height:20.95pt;width:15.05pt;" o:ole="t" filled="f" o:preferrelative="t" stroked="f" coordsize="21600,21600">
            <v:path/>
            <v:fill on="f" focussize="0,0"/>
            <v:stroke on="f" joinstyle="miter"/>
            <v:imagedata r:id="rId52" o:title=""/>
            <o:lock v:ext="edit" aspectratio="t"/>
            <w10:wrap type="none"/>
            <w10:anchorlock/>
          </v:shape>
          <o:OLEObject Type="Embed" ProgID="Equation.3" ShapeID="_x0000_i1047" DrawAspect="Content" ObjectID="_1468075747" r:id="rId51">
            <o:LockedField>false</o:LockedField>
          </o:OLEObject>
        </w:object>
      </w:r>
      <w:r>
        <w:rPr>
          <w:rFonts w:hint="eastAsia"/>
          <w:color w:val="000000" w:themeColor="text1"/>
          <w:sz w:val="28"/>
          <w:szCs w:val="24"/>
          <w:highlight w:val="none"/>
          <w:lang w:val="en-US"/>
          <w14:textFill>
            <w14:solidFill>
              <w14:schemeClr w14:val="tx1"/>
            </w14:solidFill>
          </w14:textFill>
        </w:rPr>
        <w:t>——撞击声级</w:t>
      </w:r>
    </w:p>
    <w:p>
      <w:pPr>
        <w:spacing w:line="360" w:lineRule="auto"/>
        <w:ind w:firstLine="1388" w:firstLineChars="496"/>
        <w:rPr>
          <w:i/>
          <w:iCs/>
          <w:color w:val="000000" w:themeColor="text1"/>
          <w:sz w:val="28"/>
          <w:szCs w:val="24"/>
          <w:highlight w:val="none"/>
          <w:lang w:val="en-US"/>
          <w14:textFill>
            <w14:solidFill>
              <w14:schemeClr w14:val="tx1"/>
            </w14:solidFill>
          </w14:textFill>
        </w:rPr>
      </w:pPr>
      <w:r>
        <w:rPr>
          <w:rFonts w:hint="eastAsia"/>
          <w:i/>
          <w:iCs/>
          <w:color w:val="000000" w:themeColor="text1"/>
          <w:sz w:val="28"/>
          <w:szCs w:val="24"/>
          <w:highlight w:val="none"/>
          <w:lang w:val="en-US"/>
          <w14:textFill>
            <w14:solidFill>
              <w14:schemeClr w14:val="tx1"/>
            </w14:solidFill>
          </w14:textFill>
        </w:rPr>
        <w:t>f——频率</w:t>
      </w:r>
    </w:p>
    <w:p>
      <w:pPr>
        <w:spacing w:line="360" w:lineRule="auto"/>
        <w:ind w:firstLine="1388" w:firstLineChars="496"/>
        <w:rPr>
          <w:i/>
          <w:iCs/>
          <w:color w:val="000000" w:themeColor="text1"/>
          <w:sz w:val="28"/>
          <w:szCs w:val="24"/>
          <w:highlight w:val="none"/>
          <w:lang w:val="en-US"/>
          <w14:textFill>
            <w14:solidFill>
              <w14:schemeClr w14:val="tx1"/>
            </w14:solidFill>
          </w14:textFill>
        </w:rPr>
      </w:pPr>
      <w:r>
        <w:rPr>
          <w:rFonts w:hint="eastAsia"/>
          <w:i/>
          <w:iCs/>
          <w:color w:val="000000" w:themeColor="text1"/>
          <w:sz w:val="28"/>
          <w:szCs w:val="24"/>
          <w:highlight w:val="none"/>
          <w:lang w:val="en-US"/>
          <w14:textFill>
            <w14:solidFill>
              <w14:schemeClr w14:val="tx1"/>
            </w14:solidFill>
          </w14:textFill>
        </w:rPr>
        <w:t>E——楼板材料的弹性模量</w:t>
      </w:r>
    </w:p>
    <w:p>
      <w:pPr>
        <w:spacing w:line="360" w:lineRule="auto"/>
        <w:ind w:firstLine="1388" w:firstLineChars="496"/>
        <w:rPr>
          <w:i/>
          <w:iCs/>
          <w:color w:val="000000" w:themeColor="text1"/>
          <w:sz w:val="28"/>
          <w:szCs w:val="24"/>
          <w:highlight w:val="none"/>
          <w:lang w:val="en-US"/>
          <w14:textFill>
            <w14:solidFill>
              <w14:schemeClr w14:val="tx1"/>
            </w14:solidFill>
          </w14:textFill>
        </w:rPr>
      </w:pPr>
      <w:r>
        <w:rPr>
          <w:rFonts w:hint="eastAsia"/>
          <w:i/>
          <w:iCs/>
          <w:color w:val="000000" w:themeColor="text1"/>
          <w:sz w:val="28"/>
          <w:szCs w:val="24"/>
          <w:highlight w:val="none"/>
          <w:lang w:val="en-US"/>
          <w14:textFill>
            <w14:solidFill>
              <w14:schemeClr w14:val="tx1"/>
            </w14:solidFill>
          </w14:textFill>
        </w:rPr>
        <w:t>ρ——楼板材料的密度</w:t>
      </w:r>
    </w:p>
    <w:p>
      <w:pPr>
        <w:spacing w:line="360" w:lineRule="auto"/>
        <w:ind w:firstLine="1388" w:firstLineChars="496"/>
        <w:rPr>
          <w:i/>
          <w:iCs/>
          <w:color w:val="000000" w:themeColor="text1"/>
          <w:sz w:val="28"/>
          <w:szCs w:val="24"/>
          <w:highlight w:val="none"/>
          <w:lang w:val="en-US"/>
          <w14:textFill>
            <w14:solidFill>
              <w14:schemeClr w14:val="tx1"/>
            </w14:solidFill>
          </w14:textFill>
        </w:rPr>
      </w:pPr>
      <w:r>
        <w:rPr>
          <w:rFonts w:hint="eastAsia"/>
          <w:i/>
          <w:iCs/>
          <w:color w:val="000000" w:themeColor="text1"/>
          <w:sz w:val="28"/>
          <w:szCs w:val="24"/>
          <w:highlight w:val="none"/>
          <w:lang w:val="en-US"/>
          <w14:textFill>
            <w14:solidFill>
              <w14:schemeClr w14:val="tx1"/>
            </w14:solidFill>
          </w14:textFill>
        </w:rPr>
        <w:t>h——楼板的厚度</w:t>
      </w:r>
    </w:p>
    <w:p>
      <w:pPr>
        <w:spacing w:line="360" w:lineRule="auto"/>
        <w:ind w:firstLine="1388" w:firstLineChars="496"/>
        <w:rPr>
          <w:i/>
          <w:iCs/>
          <w:color w:val="000000" w:themeColor="text1"/>
          <w:sz w:val="28"/>
          <w:szCs w:val="24"/>
          <w:highlight w:val="none"/>
          <w:lang w:val="en-US"/>
          <w14:textFill>
            <w14:solidFill>
              <w14:schemeClr w14:val="tx1"/>
            </w14:solidFill>
          </w14:textFill>
        </w:rPr>
      </w:pPr>
      <w:r>
        <w:rPr>
          <w:rFonts w:hint="eastAsia"/>
          <w:i/>
          <w:iCs/>
          <w:color w:val="000000" w:themeColor="text1"/>
          <w:sz w:val="28"/>
          <w:szCs w:val="24"/>
          <w:highlight w:val="none"/>
          <w:lang w:val="en-US"/>
          <w14:textFill>
            <w14:solidFill>
              <w14:schemeClr w14:val="tx1"/>
            </w14:solidFill>
          </w14:textFill>
        </w:rPr>
        <w:t>C——常数</w:t>
      </w:r>
    </w:p>
    <w:p>
      <w:pPr>
        <w:spacing w:line="360" w:lineRule="auto"/>
        <w:ind w:firstLine="1388" w:firstLineChars="496"/>
        <w:jc w:val="center"/>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drawing>
          <wp:inline distT="0" distB="0" distL="114300" distR="114300">
            <wp:extent cx="2560320" cy="2979420"/>
            <wp:effectExtent l="0" t="0" r="11430" b="11430"/>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pic:cNvPicPr>
                      <a:picLocks noChangeAspect="1"/>
                    </pic:cNvPicPr>
                  </pic:nvPicPr>
                  <pic:blipFill>
                    <a:blip r:embed="rId53"/>
                    <a:stretch>
                      <a:fillRect/>
                    </a:stretch>
                  </pic:blipFill>
                  <pic:spPr>
                    <a:xfrm>
                      <a:off x="0" y="0"/>
                      <a:ext cx="2560320" cy="2979420"/>
                    </a:xfrm>
                    <a:prstGeom prst="rect">
                      <a:avLst/>
                    </a:prstGeom>
                    <a:noFill/>
                    <a:ln>
                      <a:noFill/>
                    </a:ln>
                  </pic:spPr>
                </pic:pic>
              </a:graphicData>
            </a:graphic>
          </wp:inline>
        </w:drawing>
      </w:r>
    </w:p>
    <w:p>
      <w:pPr>
        <w:pStyle w:val="13"/>
        <w:spacing w:line="360" w:lineRule="auto"/>
        <w:ind w:firstLine="1388" w:firstLineChars="496"/>
        <w:rPr>
          <w:rFonts w:eastAsia="宋体"/>
          <w:color w:val="000000" w:themeColor="text1"/>
          <w:sz w:val="28"/>
          <w:szCs w:val="24"/>
          <w:highlight w:val="none"/>
          <w14:textFill>
            <w14:solidFill>
              <w14:schemeClr w14:val="tx1"/>
            </w14:solidFill>
          </w14:textFill>
        </w:rPr>
      </w:pPr>
      <w:r>
        <w:rPr>
          <w:rFonts w:eastAsia="宋体"/>
          <w:color w:val="000000" w:themeColor="text1"/>
          <w:sz w:val="28"/>
          <w:szCs w:val="24"/>
          <w:highlight w:val="none"/>
          <w14:textFill>
            <w14:solidFill>
              <w14:schemeClr w14:val="tx1"/>
            </w14:solidFill>
          </w14:textFill>
        </w:rPr>
        <w:t xml:space="preserve">图 </w:t>
      </w:r>
      <w:r>
        <w:rPr>
          <w:rFonts w:eastAsia="宋体"/>
          <w:color w:val="000000" w:themeColor="text1"/>
          <w:sz w:val="28"/>
          <w:szCs w:val="24"/>
          <w:highlight w:val="none"/>
          <w14:textFill>
            <w14:solidFill>
              <w14:schemeClr w14:val="tx1"/>
            </w14:solidFill>
          </w14:textFill>
        </w:rPr>
        <w:fldChar w:fldCharType="begin"/>
      </w:r>
      <w:r>
        <w:rPr>
          <w:rFonts w:eastAsia="宋体"/>
          <w:color w:val="000000" w:themeColor="text1"/>
          <w:sz w:val="28"/>
          <w:szCs w:val="24"/>
          <w:highlight w:val="none"/>
          <w14:textFill>
            <w14:solidFill>
              <w14:schemeClr w14:val="tx1"/>
            </w14:solidFill>
          </w14:textFill>
        </w:rPr>
        <w:instrText xml:space="preserve"> SEQ 图 \* ARABIC </w:instrText>
      </w:r>
      <w:r>
        <w:rPr>
          <w:rFonts w:eastAsia="宋体"/>
          <w:color w:val="000000" w:themeColor="text1"/>
          <w:sz w:val="28"/>
          <w:szCs w:val="24"/>
          <w:highlight w:val="none"/>
          <w14:textFill>
            <w14:solidFill>
              <w14:schemeClr w14:val="tx1"/>
            </w14:solidFill>
          </w14:textFill>
        </w:rPr>
        <w:fldChar w:fldCharType="separate"/>
      </w:r>
      <w:r>
        <w:rPr>
          <w:rFonts w:eastAsia="宋体"/>
          <w:color w:val="000000" w:themeColor="text1"/>
          <w:sz w:val="28"/>
          <w:szCs w:val="24"/>
          <w:highlight w:val="none"/>
          <w14:textFill>
            <w14:solidFill>
              <w14:schemeClr w14:val="tx1"/>
            </w14:solidFill>
          </w14:textFill>
        </w:rPr>
        <w:t>4</w:t>
      </w:r>
      <w:r>
        <w:rPr>
          <w:rFonts w:eastAsia="宋体"/>
          <w:color w:val="000000" w:themeColor="text1"/>
          <w:sz w:val="28"/>
          <w:szCs w:val="24"/>
          <w:highlight w:val="none"/>
          <w14:textFill>
            <w14:solidFill>
              <w14:schemeClr w14:val="tx1"/>
            </w14:solidFill>
          </w14:textFill>
        </w:rPr>
        <w:fldChar w:fldCharType="end"/>
      </w:r>
      <w:r>
        <w:rPr>
          <w:rFonts w:hint="eastAsia" w:eastAsia="宋体"/>
          <w:color w:val="000000" w:themeColor="text1"/>
          <w:sz w:val="28"/>
          <w:szCs w:val="24"/>
          <w:highlight w:val="none"/>
          <w14:textFill>
            <w14:solidFill>
              <w14:schemeClr w14:val="tx1"/>
            </w14:solidFill>
          </w14:textFill>
        </w:rPr>
        <w:t xml:space="preserve"> 12cm厚钢筋混凝土楼板上不同撞击声源产生的撞击声压级</w:t>
      </w:r>
    </w:p>
    <w:p>
      <w:pPr>
        <w:spacing w:line="360" w:lineRule="auto"/>
        <w:ind w:firstLine="560" w:firstLineChars="20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因此，均质材料的撞击声隔声随着材料的弹性模量、密度、厚度的增加而减少；其中以增加厚度最为有效。</w:t>
      </w:r>
    </w:p>
    <w:p>
      <w:pPr>
        <w:numPr>
          <w:ilvl w:val="0"/>
          <w:numId w:val="2"/>
        </w:numPr>
        <w:spacing w:line="360" w:lineRule="auto"/>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常用隔声措施</w:t>
      </w:r>
    </w:p>
    <w:p>
      <w:pPr>
        <w:spacing w:line="360" w:lineRule="auto"/>
        <w:ind w:firstLine="560" w:firstLineChars="20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在通常的工程项目中，楼板撞击声隔声的常用隔声措施可分为三类：a) 采用弹性材料作面层。弹性面层可使撞击地面的能量减弱从而减弱楼板的振动。b）在楼板的基层与面层之间加上一层弹性垫层，将上下两层完全隔开，使地面振动只有一部分传至楼板基层，对撞击声隔声与空气声隔声都很有效。c） 设置弹性吊顶，可减弱基层楼板振动时向下的辐射声能，吊顶主要起到隔绝空气声的作用。</w:t>
      </w:r>
    </w:p>
    <w:p>
      <w:pPr>
        <w:numPr>
          <w:ilvl w:val="0"/>
          <w:numId w:val="2"/>
        </w:numPr>
        <w:spacing w:line="360" w:lineRule="auto"/>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撞击声隔声计算</w:t>
      </w:r>
    </w:p>
    <w:p>
      <w:pPr>
        <w:spacing w:line="360" w:lineRule="auto"/>
        <w:ind w:firstLine="560" w:firstLineChars="20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对于楼板撞击声隔声的计算，工程中一般采用参照对比法，以已知常用楼板的构造方式与现有楼板进行类比参照，以获取其楼板撞击声隔声量。</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本项目楼板类型（自上而下）：</w:t>
      </w:r>
    </w:p>
    <w:p>
      <w:pPr>
        <w:spacing w:line="360" w:lineRule="auto"/>
        <w:ind w:firstLine="420" w:firstLineChars="15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水泥砂浆20mm+钢筋混凝土楼板100mm+水泥砂浆20mm</w:t>
      </w:r>
    </w:p>
    <w:p>
      <w:pPr>
        <w:spacing w:line="360" w:lineRule="auto"/>
        <w:ind w:firstLine="560" w:firstLineChars="200"/>
        <w:rPr>
          <w:rFonts w:hint="eastAsia" w:ascii="TimesNewRomanPSMT" w:hAnsi="TimesNewRomanPSMT" w:cs="TimesNewRomanPSMT"/>
          <w:color w:val="000000" w:themeColor="text1"/>
          <w:sz w:val="28"/>
          <w:szCs w:val="24"/>
          <w:highlight w:val="none"/>
          <w:lang w:val="en-US"/>
          <w14:textFill>
            <w14:solidFill>
              <w14:schemeClr w14:val="tx1"/>
            </w14:solidFill>
          </w14:textFill>
        </w:rPr>
      </w:pP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8</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综合面密度计算</w:t>
      </w:r>
    </w:p>
    <w:tbl>
      <w:tblPr>
        <w:tblStyle w:val="25"/>
        <w:tblW w:w="4998" w:type="pct"/>
        <w:tblInd w:w="0" w:type="dxa"/>
        <w:tblLayout w:type="autofit"/>
        <w:tblCellMar>
          <w:top w:w="0" w:type="dxa"/>
          <w:left w:w="0" w:type="dxa"/>
          <w:bottom w:w="0" w:type="dxa"/>
          <w:right w:w="0" w:type="dxa"/>
        </w:tblCellMar>
      </w:tblPr>
      <w:tblGrid>
        <w:gridCol w:w="2272"/>
        <w:gridCol w:w="2273"/>
        <w:gridCol w:w="2273"/>
        <w:gridCol w:w="2278"/>
      </w:tblGrid>
      <w:tr>
        <w:tblPrEx>
          <w:tblCellMar>
            <w:top w:w="0" w:type="dxa"/>
            <w:left w:w="0" w:type="dxa"/>
            <w:bottom w:w="0" w:type="dxa"/>
            <w:right w:w="0" w:type="dxa"/>
          </w:tblCellMar>
        </w:tblPrEx>
        <w:trPr>
          <w:trHeight w:val="570" w:hRule="atLeast"/>
        </w:trPr>
        <w:tc>
          <w:tcPr>
            <w:tcW w:w="1249" w:type="pct"/>
            <w:tcBorders>
              <w:top w:val="single" w:color="000000" w:sz="8" w:space="0"/>
              <w:left w:val="single" w:color="000000" w:sz="8" w:space="0"/>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墙类型</w:t>
            </w:r>
          </w:p>
        </w:tc>
        <w:tc>
          <w:tcPr>
            <w:tcW w:w="1249"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w:t>
            </w:r>
          </w:p>
        </w:tc>
        <w:tc>
          <w:tcPr>
            <w:tcW w:w="1249"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钢筋混凝土楼板</w:t>
            </w:r>
          </w:p>
        </w:tc>
        <w:tc>
          <w:tcPr>
            <w:tcW w:w="1250"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w:t>
            </w:r>
          </w:p>
        </w:tc>
      </w:tr>
      <w:tr>
        <w:tblPrEx>
          <w:tblCellMar>
            <w:top w:w="0" w:type="dxa"/>
            <w:left w:w="0" w:type="dxa"/>
            <w:bottom w:w="0" w:type="dxa"/>
            <w:right w:w="0" w:type="dxa"/>
          </w:tblCellMar>
        </w:tblPrEx>
        <w:trPr>
          <w:trHeight w:val="285"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厚度</w:t>
            </w:r>
            <w:r>
              <w:rPr>
                <w:color w:val="000000" w:themeColor="text1"/>
                <w:sz w:val="28"/>
                <w:szCs w:val="21"/>
                <w:highlight w:val="none"/>
                <w:lang w:val="en-US"/>
                <w14:textFill>
                  <w14:solidFill>
                    <w14:schemeClr w14:val="tx1"/>
                  </w14:solidFill>
                </w14:textFill>
              </w:rPr>
              <w:t>(mm)</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100</w:t>
            </w:r>
          </w:p>
        </w:tc>
        <w:tc>
          <w:tcPr>
            <w:tcW w:w="1250"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r>
      <w:tr>
        <w:tblPrEx>
          <w:tblCellMar>
            <w:top w:w="0" w:type="dxa"/>
            <w:left w:w="0" w:type="dxa"/>
            <w:bottom w:w="0" w:type="dxa"/>
            <w:right w:w="0" w:type="dxa"/>
          </w:tblCellMar>
        </w:tblPrEx>
        <w:trPr>
          <w:trHeight w:val="540"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材料密度</w:t>
            </w:r>
            <w:r>
              <w:rPr>
                <w:color w:val="000000" w:themeColor="text1"/>
                <w:sz w:val="28"/>
                <w:szCs w:val="21"/>
                <w:highlight w:val="none"/>
                <w:lang w:val="en-US"/>
                <w14:textFill>
                  <w14:solidFill>
                    <w14:schemeClr w14:val="tx1"/>
                  </w14:solidFill>
                </w14:textFill>
              </w:rPr>
              <w:t>(kg/m</w:t>
            </w:r>
            <w:r>
              <w:rPr>
                <w:color w:val="000000" w:themeColor="text1"/>
                <w:sz w:val="28"/>
                <w:szCs w:val="21"/>
                <w:highlight w:val="none"/>
                <w:vertAlign w:val="superscript"/>
                <w:lang w:val="en-US"/>
                <w14:textFill>
                  <w14:solidFill>
                    <w14:schemeClr w14:val="tx1"/>
                  </w14:solidFill>
                </w14:textFill>
              </w:rPr>
              <w:t>3</w:t>
            </w:r>
            <w:r>
              <w:rPr>
                <w:color w:val="000000" w:themeColor="text1"/>
                <w:sz w:val="28"/>
                <w:szCs w:val="21"/>
                <w:highlight w:val="none"/>
                <w:lang w:val="en-US"/>
                <w14:textFill>
                  <w14:solidFill>
                    <w14:schemeClr w14:val="tx1"/>
                  </w14:solidFill>
                </w14:textFill>
              </w:rPr>
              <w:t>)</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1800</w:t>
            </w:r>
          </w:p>
        </w:tc>
        <w:tc>
          <w:tcPr>
            <w:tcW w:w="124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2500</w:t>
            </w:r>
          </w:p>
        </w:tc>
        <w:tc>
          <w:tcPr>
            <w:tcW w:w="1250"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1800</w:t>
            </w:r>
          </w:p>
        </w:tc>
      </w:tr>
      <w:tr>
        <w:tblPrEx>
          <w:tblCellMar>
            <w:top w:w="0" w:type="dxa"/>
            <w:left w:w="0" w:type="dxa"/>
            <w:bottom w:w="0" w:type="dxa"/>
            <w:right w:w="0" w:type="dxa"/>
          </w:tblCellMar>
        </w:tblPrEx>
        <w:trPr>
          <w:trHeight w:val="540" w:hRule="atLeast"/>
        </w:trPr>
        <w:tc>
          <w:tcPr>
            <w:tcW w:w="124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综合面密度</w:t>
            </w:r>
            <w:r>
              <w:rPr>
                <w:color w:val="000000" w:themeColor="text1"/>
                <w:sz w:val="28"/>
                <w:szCs w:val="21"/>
                <w:highlight w:val="none"/>
                <w:lang w:val="en-US"/>
                <w14:textFill>
                  <w14:solidFill>
                    <w14:schemeClr w14:val="tx1"/>
                  </w14:solidFill>
                </w14:textFill>
              </w:rPr>
              <w:t>(kg/m</w:t>
            </w:r>
            <w:r>
              <w:rPr>
                <w:color w:val="000000" w:themeColor="text1"/>
                <w:sz w:val="28"/>
                <w:szCs w:val="21"/>
                <w:highlight w:val="none"/>
                <w:vertAlign w:val="superscript"/>
                <w:lang w:val="en-US"/>
                <w14:textFill>
                  <w14:solidFill>
                    <w14:schemeClr w14:val="tx1"/>
                  </w14:solidFill>
                </w14:textFill>
              </w:rPr>
              <w:t>2</w:t>
            </w:r>
            <w:r>
              <w:rPr>
                <w:color w:val="000000" w:themeColor="text1"/>
                <w:sz w:val="28"/>
                <w:szCs w:val="21"/>
                <w:highlight w:val="none"/>
                <w:lang w:val="en-US"/>
                <w14:textFill>
                  <w14:solidFill>
                    <w14:schemeClr w14:val="tx1"/>
                  </w14:solidFill>
                </w14:textFill>
              </w:rPr>
              <w:t>)</w:t>
            </w:r>
          </w:p>
        </w:tc>
        <w:tc>
          <w:tcPr>
            <w:tcW w:w="3750"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14:textFill>
                  <w14:solidFill>
                    <w14:schemeClr w14:val="tx1"/>
                  </w14:solidFill>
                </w14:textFill>
              </w:rPr>
            </w:pPr>
            <w:r>
              <w:rPr>
                <w:color w:val="000000" w:themeColor="text1"/>
                <w:sz w:val="28"/>
                <w:szCs w:val="21"/>
                <w:highlight w:val="none"/>
                <w:lang w:val="en-US"/>
                <w14:textFill>
                  <w14:solidFill>
                    <w14:schemeClr w14:val="tx1"/>
                  </w14:solidFill>
                </w14:textFill>
              </w:rPr>
              <w:t>322.0</w:t>
            </w:r>
          </w:p>
        </w:tc>
      </w:tr>
    </w:tbl>
    <w:p>
      <w:pPr>
        <w:spacing w:line="360" w:lineRule="auto"/>
        <w:ind w:firstLine="480" w:firstLineChars="200"/>
        <w:rPr>
          <w:color w:val="000000" w:themeColor="text1"/>
          <w:sz w:val="28"/>
          <w:highlight w:val="none"/>
          <w:lang w:val="en-US"/>
          <w14:textFill>
            <w14:solidFill>
              <w14:schemeClr w14:val="tx1"/>
            </w14:solidFill>
          </w14:textFill>
        </w:rPr>
      </w:pPr>
      <w:r>
        <w:rPr>
          <w:rFonts w:ascii="宋体" w:hAnsi="宋体" w:eastAsia="宋体" w:cs="宋体"/>
          <w:kern w:val="0"/>
          <w:sz w:val="24"/>
          <w:szCs w:val="24"/>
          <w:lang w:val="en-US" w:eastAsia="zh-CN" w:bidi="ar"/>
        </w:rPr>
        <w:drawing>
          <wp:anchor distT="0" distB="0" distL="114300" distR="114300" simplePos="0" relativeHeight="251698176" behindDoc="0" locked="0" layoutInCell="1" allowOverlap="1">
            <wp:simplePos x="0" y="0"/>
            <wp:positionH relativeFrom="column">
              <wp:posOffset>214630</wp:posOffset>
            </wp:positionH>
            <wp:positionV relativeFrom="paragraph">
              <wp:posOffset>1126490</wp:posOffset>
            </wp:positionV>
            <wp:extent cx="5311775" cy="2609850"/>
            <wp:effectExtent l="0" t="0" r="3175" b="0"/>
            <wp:wrapTopAndBottom/>
            <wp:docPr id="5"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descr="IMG_256"/>
                    <pic:cNvPicPr>
                      <a:picLocks noChangeAspect="1"/>
                    </pic:cNvPicPr>
                  </pic:nvPicPr>
                  <pic:blipFill>
                    <a:blip r:embed="rId54"/>
                    <a:stretch>
                      <a:fillRect/>
                    </a:stretch>
                  </pic:blipFill>
                  <pic:spPr>
                    <a:xfrm>
                      <a:off x="0" y="0"/>
                      <a:ext cx="5311775" cy="2609850"/>
                    </a:xfrm>
                    <a:prstGeom prst="rect">
                      <a:avLst/>
                    </a:prstGeom>
                    <a:noFill/>
                    <a:ln w="9525">
                      <a:noFill/>
                    </a:ln>
                  </pic:spPr>
                </pic:pic>
              </a:graphicData>
            </a:graphic>
          </wp:anchor>
        </w:drawing>
      </w:r>
      <w:r>
        <w:rPr>
          <w:rFonts w:hint="eastAsia"/>
          <w:color w:val="000000" w:themeColor="text1"/>
          <w:sz w:val="28"/>
          <w:szCs w:val="24"/>
          <w:highlight w:val="none"/>
          <w:lang w:val="en-US"/>
          <w14:textFill>
            <w14:solidFill>
              <w14:schemeClr w14:val="tx1"/>
            </w14:solidFill>
          </w14:textFill>
        </w:rPr>
        <w:t>依据现有构造，本计算书选取《</w:t>
      </w:r>
      <w:r>
        <w:rPr>
          <w:rFonts w:hint="eastAsia"/>
          <w:color w:val="000000" w:themeColor="text1"/>
          <w:sz w:val="28"/>
          <w:highlight w:val="none"/>
          <w:lang w:val="en-US"/>
          <w14:textFill>
            <w14:solidFill>
              <w14:schemeClr w14:val="tx1"/>
            </w14:solidFill>
          </w14:textFill>
        </w:rPr>
        <w:t>建筑声学设计手册</w:t>
      </w:r>
      <w:r>
        <w:rPr>
          <w:rFonts w:hint="eastAsia"/>
          <w:color w:val="000000" w:themeColor="text1"/>
          <w:sz w:val="28"/>
          <w:szCs w:val="24"/>
          <w:highlight w:val="none"/>
          <w:lang w:val="en-US"/>
          <w14:textFill>
            <w14:solidFill>
              <w14:schemeClr w14:val="tx1"/>
            </w14:solidFill>
          </w14:textFill>
        </w:rPr>
        <w:t>》</w:t>
      </w:r>
      <w:r>
        <w:rPr>
          <w:rFonts w:hint="eastAsia"/>
          <w:color w:val="000000" w:themeColor="text1"/>
          <w:sz w:val="28"/>
          <w:highlight w:val="none"/>
          <w:lang w:val="en-US"/>
          <w14:textFill>
            <w14:solidFill>
              <w14:schemeClr w14:val="tx1"/>
            </w14:solidFill>
          </w14:textFill>
        </w:rPr>
        <w:t>，中国建筑科学研究院建筑物理研究所中的构造相似构造进行类比，构造图如下：</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7677150" cy="3771900"/>
            <wp:effectExtent l="0" t="0" r="0" b="0"/>
            <wp:docPr id="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descr="IMG_256"/>
                    <pic:cNvPicPr>
                      <a:picLocks noChangeAspect="1"/>
                    </pic:cNvPicPr>
                  </pic:nvPicPr>
                  <pic:blipFill>
                    <a:blip r:embed="rId54"/>
                    <a:stretch>
                      <a:fillRect/>
                    </a:stretch>
                  </pic:blipFill>
                  <pic:spPr>
                    <a:xfrm>
                      <a:off x="0" y="0"/>
                      <a:ext cx="7677150" cy="3771900"/>
                    </a:xfrm>
                    <a:prstGeom prst="rect">
                      <a:avLst/>
                    </a:prstGeom>
                    <a:noFill/>
                    <a:ln w="9525">
                      <a:noFill/>
                    </a:ln>
                  </pic:spPr>
                </pic:pic>
              </a:graphicData>
            </a:graphic>
          </wp:inline>
        </w:drawing>
      </w:r>
    </w:p>
    <w:p>
      <w:pPr>
        <w:keepNext w:val="0"/>
        <w:keepLines w:val="0"/>
        <w:widowControl/>
        <w:suppressLineNumbers w:val="0"/>
        <w:jc w:val="left"/>
      </w:pPr>
      <w:r>
        <w:rPr>
          <w:color w:val="000000" w:themeColor="text1"/>
          <w:sz w:val="28"/>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387350</wp:posOffset>
                </wp:positionH>
                <wp:positionV relativeFrom="paragraph">
                  <wp:posOffset>184150</wp:posOffset>
                </wp:positionV>
                <wp:extent cx="1323975" cy="1153795"/>
                <wp:effectExtent l="19050" t="19050" r="28575" b="27305"/>
                <wp:wrapNone/>
                <wp:docPr id="37" name="矩形 37"/>
                <wp:cNvGraphicFramePr/>
                <a:graphic xmlns:a="http://schemas.openxmlformats.org/drawingml/2006/main">
                  <a:graphicData uri="http://schemas.microsoft.com/office/word/2010/wordprocessingShape">
                    <wps:wsp>
                      <wps:cNvSpPr/>
                      <wps:spPr>
                        <a:xfrm>
                          <a:off x="0" y="0"/>
                          <a:ext cx="1323975" cy="1153795"/>
                        </a:xfrm>
                        <a:prstGeom prst="rect">
                          <a:avLst/>
                        </a:prstGeom>
                        <a:noFill/>
                        <a:ln w="38100" cap="flat" cmpd="sng" algn="ctr">
                          <a:solidFill>
                            <a:srgbClr val="C0504D"/>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14.5pt;height:90.85pt;width:104.25pt;z-index:251699200;v-text-anchor:middle;mso-width-relative:page;mso-height-relative:page;" filled="f" stroked="t" coordsize="21600,21600" o:gfxdata="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SBmQ2QAAAAkB&#10;AAAPAAAAAAAAAAEAIAAAACIAAABkcnMvZG93bnJldi54bWxQSwECFAAUAAAACACHTuJACmKgIVMC&#10;AACCBAAADgAAAAAAAAABACAAAAAoAQAAZHJzL2Uyb0RvYy54bWxQSwUGAAAAAAYABgBZAQAA7QUA&#10;AAAA&#10;">
                <v:fill on="f" focussize="0,0"/>
                <v:stroke weight="3pt" color="#C0504D" joinstyle="round"/>
                <v:imagedata o:title=""/>
                <o:lock v:ext="edit" aspectratio="f"/>
                <v:textbox>
                  <w:txbxContent>
                    <w:p>
                      <w:pPr>
                        <w:jc w:val="center"/>
                      </w:pPr>
                    </w:p>
                  </w:txbxContent>
                </v:textbox>
              </v:rect>
            </w:pict>
          </mc:Fallback>
        </mc:AlternateContent>
      </w:r>
    </w:p>
    <w:p>
      <w:pPr>
        <w:spacing w:line="360" w:lineRule="auto"/>
        <w:ind w:firstLine="560" w:firstLineChars="200"/>
        <w:rPr>
          <w:color w:val="000000" w:themeColor="text1"/>
          <w:sz w:val="28"/>
          <w:highlight w:val="none"/>
          <w:lang w:val="en-US"/>
          <w14:textFill>
            <w14:solidFill>
              <w14:schemeClr w14:val="tx1"/>
            </w14:solidFill>
          </w14:textFill>
        </w:rPr>
      </w:pPr>
    </w:p>
    <w:p>
      <w:pPr>
        <w:spacing w:line="360" w:lineRule="auto"/>
        <w:ind w:firstLine="420" w:firstLineChars="150"/>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drawing>
          <wp:inline distT="0" distB="0" distL="114300" distR="114300">
            <wp:extent cx="5268595" cy="2287905"/>
            <wp:effectExtent l="0" t="0" r="8255" b="17145"/>
            <wp:docPr id="3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4"/>
                    <pic:cNvPicPr>
                      <a:picLocks noChangeAspect="1"/>
                    </pic:cNvPicPr>
                  </pic:nvPicPr>
                  <pic:blipFill>
                    <a:blip r:embed="rId55"/>
                    <a:stretch>
                      <a:fillRect/>
                    </a:stretch>
                  </pic:blipFill>
                  <pic:spPr>
                    <a:xfrm>
                      <a:off x="0" y="0"/>
                      <a:ext cx="5268595" cy="2287905"/>
                    </a:xfrm>
                    <a:prstGeom prst="rect">
                      <a:avLst/>
                    </a:prstGeom>
                    <a:noFill/>
                    <a:ln>
                      <a:noFill/>
                    </a:ln>
                  </pic:spPr>
                </pic:pic>
              </a:graphicData>
            </a:graphic>
          </wp:inline>
        </w:drawing>
      </w:r>
    </w:p>
    <w:p>
      <w:pPr>
        <w:pStyle w:val="13"/>
        <w:spacing w:line="360" w:lineRule="auto"/>
        <w:ind w:firstLine="420" w:firstLineChars="150"/>
        <w:jc w:val="center"/>
        <w:rPr>
          <w:rFonts w:eastAsia="宋体"/>
          <w:color w:val="000000" w:themeColor="text1"/>
          <w:sz w:val="28"/>
          <w:szCs w:val="24"/>
          <w:highlight w:val="none"/>
          <w:lang w:val="en-US"/>
          <w14:textFill>
            <w14:solidFill>
              <w14:schemeClr w14:val="tx1"/>
            </w14:solidFill>
          </w14:textFill>
        </w:rPr>
      </w:pPr>
      <w:r>
        <w:rPr>
          <w:rFonts w:eastAsia="宋体"/>
          <w:color w:val="000000" w:themeColor="text1"/>
          <w:sz w:val="28"/>
          <w:szCs w:val="24"/>
          <w:highlight w:val="none"/>
          <w14:textFill>
            <w14:solidFill>
              <w14:schemeClr w14:val="tx1"/>
            </w14:solidFill>
          </w14:textFill>
        </w:rPr>
        <w:t xml:space="preserve">图 </w:t>
      </w:r>
      <w:r>
        <w:rPr>
          <w:rFonts w:eastAsia="宋体"/>
          <w:color w:val="000000" w:themeColor="text1"/>
          <w:sz w:val="28"/>
          <w:szCs w:val="24"/>
          <w:highlight w:val="none"/>
          <w14:textFill>
            <w14:solidFill>
              <w14:schemeClr w14:val="tx1"/>
            </w14:solidFill>
          </w14:textFill>
        </w:rPr>
        <w:fldChar w:fldCharType="begin"/>
      </w:r>
      <w:r>
        <w:rPr>
          <w:rFonts w:eastAsia="宋体"/>
          <w:color w:val="000000" w:themeColor="text1"/>
          <w:sz w:val="28"/>
          <w:szCs w:val="24"/>
          <w:highlight w:val="none"/>
          <w14:textFill>
            <w14:solidFill>
              <w14:schemeClr w14:val="tx1"/>
            </w14:solidFill>
          </w14:textFill>
        </w:rPr>
        <w:instrText xml:space="preserve"> SEQ 图 \* ARABIC </w:instrText>
      </w:r>
      <w:r>
        <w:rPr>
          <w:rFonts w:eastAsia="宋体"/>
          <w:color w:val="000000" w:themeColor="text1"/>
          <w:sz w:val="28"/>
          <w:szCs w:val="24"/>
          <w:highlight w:val="none"/>
          <w14:textFill>
            <w14:solidFill>
              <w14:schemeClr w14:val="tx1"/>
            </w14:solidFill>
          </w14:textFill>
        </w:rPr>
        <w:fldChar w:fldCharType="separate"/>
      </w:r>
      <w:r>
        <w:rPr>
          <w:rFonts w:eastAsia="宋体"/>
          <w:color w:val="000000" w:themeColor="text1"/>
          <w:sz w:val="28"/>
          <w:szCs w:val="24"/>
          <w:highlight w:val="none"/>
          <w14:textFill>
            <w14:solidFill>
              <w14:schemeClr w14:val="tx1"/>
            </w14:solidFill>
          </w14:textFill>
        </w:rPr>
        <w:t>5</w:t>
      </w:r>
      <w:r>
        <w:rPr>
          <w:rFonts w:eastAsia="宋体"/>
          <w:color w:val="000000" w:themeColor="text1"/>
          <w:sz w:val="28"/>
          <w:szCs w:val="24"/>
          <w:highlight w:val="none"/>
          <w14:textFill>
            <w14:solidFill>
              <w14:schemeClr w14:val="tx1"/>
            </w14:solidFill>
          </w14:textFill>
        </w:rPr>
        <w:fldChar w:fldCharType="end"/>
      </w:r>
      <w:r>
        <w:rPr>
          <w:rFonts w:hint="eastAsia" w:eastAsia="宋体"/>
          <w:color w:val="000000" w:themeColor="text1"/>
          <w:sz w:val="28"/>
          <w:szCs w:val="24"/>
          <w:highlight w:val="none"/>
          <w14:textFill>
            <w14:solidFill>
              <w14:schemeClr w14:val="tx1"/>
            </w14:solidFill>
          </w14:textFill>
        </w:rPr>
        <w:t xml:space="preserve"> 参照楼板</w:t>
      </w:r>
      <w:r>
        <w:rPr>
          <w:rFonts w:hint="eastAsia" w:eastAsia="宋体"/>
          <w:color w:val="000000" w:themeColor="text1"/>
          <w:sz w:val="28"/>
          <w:szCs w:val="24"/>
          <w:highlight w:val="none"/>
          <w:lang w:val="en-US"/>
          <w14:textFill>
            <w14:solidFill>
              <w14:schemeClr w14:val="tx1"/>
            </w14:solidFill>
          </w14:textFill>
        </w:rPr>
        <w:t>构造及撞击声压级（来源：建筑声学设计手册，中国建筑科学研究院建筑物理研究所）</w:t>
      </w:r>
    </w:p>
    <w:p>
      <w:pPr>
        <w:spacing w:line="360" w:lineRule="auto"/>
        <w:ind w:firstLine="560" w:firstLineChars="200"/>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 xml:space="preserve">  类比构造为</w:t>
      </w:r>
      <w:r>
        <w:rPr>
          <w:rFonts w:hint="eastAsia"/>
          <w:color w:val="000000" w:themeColor="text1"/>
          <w:sz w:val="28"/>
          <w:szCs w:val="24"/>
          <w:highlight w:val="none"/>
          <w:lang w:val="en-US" w:eastAsia="zh-CN"/>
          <w14:textFill>
            <w14:solidFill>
              <w14:schemeClr w14:val="tx1"/>
            </w14:solidFill>
          </w14:textFill>
        </w:rPr>
        <w:t>20厚企口木地板，90</w:t>
      </w:r>
      <w:r>
        <w:rPr>
          <w:rFonts w:hint="eastAsia"/>
          <w:color w:val="000000" w:themeColor="text1"/>
          <w:sz w:val="28"/>
          <w:szCs w:val="24"/>
          <w:highlight w:val="none"/>
          <w:lang w:val="en-US"/>
          <w14:textFill>
            <w14:solidFill>
              <w14:schemeClr w14:val="tx1"/>
            </w14:solidFill>
          </w14:textFill>
        </w:rPr>
        <w:t>厚钢筋混凝土楼板</w:t>
      </w:r>
      <w:r>
        <w:rPr>
          <w:rFonts w:hint="eastAsia"/>
          <w:color w:val="000000" w:themeColor="text1"/>
          <w:sz w:val="28"/>
          <w:szCs w:val="24"/>
          <w:highlight w:val="none"/>
          <w:lang w:val="en-US" w:eastAsia="zh-CN"/>
          <w14:textFill>
            <w14:solidFill>
              <w14:schemeClr w14:val="tx1"/>
            </w14:solidFill>
          </w14:textFill>
        </w:rPr>
        <w:t>，15顶棚抹灰</w:t>
      </w:r>
      <w:r>
        <w:rPr>
          <w:rFonts w:hint="eastAsia"/>
          <w:color w:val="000000" w:themeColor="text1"/>
          <w:sz w:val="28"/>
          <w:szCs w:val="24"/>
          <w:highlight w:val="none"/>
          <w:lang w:val="en-US"/>
          <w14:textFill>
            <w14:solidFill>
              <w14:schemeClr w14:val="tx1"/>
            </w14:solidFill>
          </w14:textFill>
        </w:rPr>
        <w:t>。该构造方式与本工程有两方面的相似性：a）</w:t>
      </w:r>
      <w:bookmarkStart w:id="73" w:name="OLE_LINK2"/>
      <w:r>
        <w:rPr>
          <w:rFonts w:hint="eastAsia"/>
          <w:color w:val="000000" w:themeColor="text1"/>
          <w:sz w:val="28"/>
          <w:szCs w:val="24"/>
          <w:highlight w:val="none"/>
          <w:lang w:val="en-US"/>
          <w14:textFill>
            <w14:solidFill>
              <w14:schemeClr w14:val="tx1"/>
            </w14:solidFill>
          </w14:textFill>
        </w:rPr>
        <w:t>隔声构造层次类似，两者均是采用在楼板基层与面层之间添加弹性垫层的构造方式</w:t>
      </w:r>
      <w:bookmarkEnd w:id="73"/>
      <w:r>
        <w:rPr>
          <w:rFonts w:hint="eastAsia"/>
          <w:color w:val="000000" w:themeColor="text1"/>
          <w:sz w:val="28"/>
          <w:szCs w:val="24"/>
          <w:highlight w:val="none"/>
          <w:lang w:val="en-US"/>
          <w14:textFill>
            <w14:solidFill>
              <w14:schemeClr w14:val="tx1"/>
            </w14:solidFill>
          </w14:textFill>
        </w:rPr>
        <w:t>，将上下两层隔开，使地面振动只有一部分传至楼板基层。b) 楼板垫层、基层厚度相当，弹性垫层厚度增加一倍，对于均质材料，撞击声隔声性能的弹性模量、密度、厚度与撞击声隔声性能呈现正相关，且厚度影响最大。</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9</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楼板与常用构造对比</w:t>
      </w:r>
    </w:p>
    <w:tbl>
      <w:tblPr>
        <w:tblStyle w:val="25"/>
        <w:tblW w:w="4997"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284"/>
        <w:gridCol w:w="1178"/>
        <w:gridCol w:w="1189"/>
        <w:gridCol w:w="2025"/>
        <w:gridCol w:w="787"/>
        <w:gridCol w:w="909"/>
        <w:gridCol w:w="172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5" w:hRule="atLeast"/>
        </w:trPr>
        <w:tc>
          <w:tcPr>
            <w:tcW w:w="7372" w:type="dxa"/>
            <w:gridSpan w:val="6"/>
            <w:tcBorders>
              <w:bottom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楼板与参照常用构造对比</w:t>
            </w:r>
          </w:p>
        </w:tc>
        <w:tc>
          <w:tcPr>
            <w:tcW w:w="1723" w:type="dxa"/>
            <w:tcBorders>
              <w:left w:val="single" w:color="auto" w:sz="4" w:space="0"/>
              <w:bottom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相似性</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718" w:hRule="atLeast"/>
        </w:trPr>
        <w:tc>
          <w:tcPr>
            <w:tcW w:w="1284" w:type="dxa"/>
            <w:tcBorders>
              <w:top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实际做法</w:t>
            </w:r>
          </w:p>
        </w:tc>
        <w:tc>
          <w:tcPr>
            <w:tcW w:w="11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装饰层用户自理</w:t>
            </w:r>
          </w:p>
        </w:tc>
        <w:tc>
          <w:tcPr>
            <w:tcW w:w="11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水泥砂浆20mm</w:t>
            </w:r>
          </w:p>
        </w:tc>
        <w:tc>
          <w:tcPr>
            <w:tcW w:w="20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钢筋混凝土</w:t>
            </w:r>
            <w:r>
              <w:rPr>
                <w:rFonts w:hint="eastAsia" w:ascii="宋体" w:hAnsi="宋体" w:cs="宋体"/>
                <w:color w:val="000000" w:themeColor="text1"/>
                <w:sz w:val="28"/>
                <w:szCs w:val="21"/>
                <w:highlight w:val="none"/>
                <w:lang w:val="en-US"/>
                <w14:textFill>
                  <w14:solidFill>
                    <w14:schemeClr w14:val="tx1"/>
                  </w14:solidFill>
                </w14:textFill>
              </w:rPr>
              <w:t>100</w:t>
            </w:r>
            <w:r>
              <w:rPr>
                <w:rFonts w:hint="eastAsia" w:ascii="宋体" w:hAnsi="宋体" w:cs="宋体"/>
                <w:color w:val="000000" w:themeColor="text1"/>
                <w:sz w:val="28"/>
                <w:szCs w:val="21"/>
                <w:highlight w:val="none"/>
                <w14:textFill>
                  <w14:solidFill>
                    <w14:schemeClr w14:val="tx1"/>
                  </w14:solidFill>
                </w14:textFill>
              </w:rPr>
              <w:t>mm</w:t>
            </w:r>
          </w:p>
        </w:tc>
        <w:tc>
          <w:tcPr>
            <w:tcW w:w="7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水泥砂浆20mm</w:t>
            </w:r>
          </w:p>
        </w:tc>
        <w:tc>
          <w:tcPr>
            <w:tcW w:w="9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color w:val="000000" w:themeColor="text1"/>
                <w:sz w:val="28"/>
                <w:szCs w:val="21"/>
                <w:highlight w:val="none"/>
                <w:lang w:val="en-US"/>
                <w14:textFill>
                  <w14:solidFill>
                    <w14:schemeClr w14:val="tx1"/>
                  </w14:solidFill>
                </w14:textFill>
              </w:rPr>
              <w:t>吊顶用户自理</w:t>
            </w:r>
          </w:p>
        </w:tc>
        <w:tc>
          <w:tcPr>
            <w:tcW w:w="1723" w:type="dxa"/>
            <w:vMerge w:val="restart"/>
            <w:tcBorders>
              <w:top w:val="single" w:color="auto" w:sz="4" w:space="0"/>
              <w:left w:val="single" w:color="auto" w:sz="4" w:space="0"/>
            </w:tcBorders>
            <w:shd w:val="clear" w:color="auto" w:fill="auto"/>
            <w:tcMar>
              <w:top w:w="15" w:type="dxa"/>
              <w:left w:w="15" w:type="dxa"/>
              <w:right w:w="15" w:type="dxa"/>
            </w:tcMar>
            <w:vAlign w:val="center"/>
          </w:tcPr>
          <w:p>
            <w:pPr>
              <w:numPr>
                <w:ilvl w:val="0"/>
                <w:numId w:val="3"/>
              </w:numPr>
              <w:spacing w:line="360" w:lineRule="auto"/>
              <w:textAlignment w:val="center"/>
              <w:rPr>
                <w:color w:val="000000" w:themeColor="text1"/>
                <w:sz w:val="28"/>
                <w:szCs w:val="21"/>
                <w:highlight w:val="none"/>
                <w14:textFill>
                  <w14:solidFill>
                    <w14:schemeClr w14:val="tx1"/>
                  </w14:solidFill>
                </w14:textFill>
              </w:rPr>
            </w:pPr>
            <w:r>
              <w:rPr>
                <w:rFonts w:hint="eastAsia"/>
                <w:color w:val="000000" w:themeColor="text1"/>
                <w:sz w:val="28"/>
                <w:highlight w:val="none"/>
                <w:lang w:val="en-US"/>
                <w14:textFill>
                  <w14:solidFill>
                    <w14:schemeClr w14:val="tx1"/>
                  </w14:solidFill>
                </w14:textFill>
              </w:rPr>
              <w:t>隔声构造层次类似</w:t>
            </w:r>
          </w:p>
          <w:p>
            <w:pPr>
              <w:numPr>
                <w:ilvl w:val="0"/>
                <w:numId w:val="3"/>
              </w:numPr>
              <w:spacing w:line="360" w:lineRule="auto"/>
              <w:textAlignment w:val="center"/>
              <w:rPr>
                <w:color w:val="000000" w:themeColor="text1"/>
                <w:sz w:val="28"/>
                <w:szCs w:val="21"/>
                <w:highlight w:val="none"/>
                <w14:textFill>
                  <w14:solidFill>
                    <w14:schemeClr w14:val="tx1"/>
                  </w14:solidFill>
                </w14:textFill>
              </w:rPr>
            </w:pPr>
            <w:r>
              <w:rPr>
                <w:rFonts w:hint="eastAsia"/>
                <w:color w:val="000000" w:themeColor="text1"/>
                <w:sz w:val="28"/>
                <w:highlight w:val="none"/>
                <w:lang w:val="en-US"/>
                <w14:textFill>
                  <w14:solidFill>
                    <w14:schemeClr w14:val="tx1"/>
                  </w14:solidFill>
                </w14:textFill>
              </w:rPr>
              <w:t>楼板垫层、弹性垫层厚度、基层厚度相当</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40" w:hRule="atLeast"/>
        </w:trPr>
        <w:tc>
          <w:tcPr>
            <w:tcW w:w="1284" w:type="dxa"/>
            <w:tcBorders>
              <w:top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参考做法</w:t>
            </w:r>
          </w:p>
          <w:p>
            <w:pPr>
              <w:spacing w:line="360" w:lineRule="auto"/>
              <w:jc w:val="center"/>
              <w:textAlignment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w:t>
            </w:r>
            <w:r>
              <w:rPr>
                <w:rFonts w:hint="eastAsia" w:ascii="宋体" w:hAnsi="宋体" w:cs="宋体"/>
                <w:color w:val="000000" w:themeColor="text1"/>
                <w:sz w:val="28"/>
                <w:szCs w:val="21"/>
                <w:highlight w:val="none"/>
                <w:lang w:val="en-US" w:eastAsia="zh-CN"/>
                <w14:textFill>
                  <w14:solidFill>
                    <w14:schemeClr w14:val="tx1"/>
                  </w14:solidFill>
                </w14:textFill>
              </w:rPr>
              <w:t>69.2</w:t>
            </w:r>
            <w:r>
              <w:rPr>
                <w:rFonts w:hint="eastAsia" w:ascii="宋体" w:hAnsi="宋体" w:cs="宋体"/>
                <w:color w:val="000000" w:themeColor="text1"/>
                <w:sz w:val="28"/>
                <w:szCs w:val="21"/>
                <w:highlight w:val="none"/>
                <w:lang w:val="en-US"/>
                <w14:textFill>
                  <w14:solidFill>
                    <w14:schemeClr w14:val="tx1"/>
                  </w14:solidFill>
                </w14:textFill>
              </w:rPr>
              <w:t>dB</w:t>
            </w:r>
            <w:r>
              <w:rPr>
                <w:rFonts w:hint="eastAsia" w:ascii="宋体" w:hAnsi="宋体" w:cs="宋体"/>
                <w:color w:val="000000" w:themeColor="text1"/>
                <w:sz w:val="28"/>
                <w:szCs w:val="21"/>
                <w:highlight w:val="none"/>
                <w14:textFill>
                  <w14:solidFill>
                    <w14:schemeClr w14:val="tx1"/>
                  </w14:solidFill>
                </w14:textFill>
              </w:rPr>
              <w:t>）</w:t>
            </w:r>
          </w:p>
        </w:tc>
        <w:tc>
          <w:tcPr>
            <w:tcW w:w="1178"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p>
        </w:tc>
        <w:tc>
          <w:tcPr>
            <w:tcW w:w="1189"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color w:val="000000" w:themeColor="text1"/>
                <w:sz w:val="28"/>
                <w:szCs w:val="24"/>
                <w:highlight w:val="none"/>
                <w:lang w:val="en-US" w:eastAsia="zh-CN"/>
                <w14:textFill>
                  <w14:solidFill>
                    <w14:schemeClr w14:val="tx1"/>
                  </w14:solidFill>
                </w14:textFill>
              </w:rPr>
              <w:t>企口木地板2</w:t>
            </w:r>
            <w:r>
              <w:rPr>
                <w:rFonts w:hint="eastAsia"/>
                <w:color w:val="000000" w:themeColor="text1"/>
                <w:sz w:val="28"/>
                <w:szCs w:val="21"/>
                <w:highlight w:val="none"/>
                <w14:textFill>
                  <w14:solidFill>
                    <w14:schemeClr w14:val="tx1"/>
                  </w14:solidFill>
                </w14:textFill>
              </w:rPr>
              <w:t>0mm</w:t>
            </w:r>
          </w:p>
        </w:tc>
        <w:tc>
          <w:tcPr>
            <w:tcW w:w="2025"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钢筋混凝土</w:t>
            </w:r>
          </w:p>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color w:val="000000" w:themeColor="text1"/>
                <w:sz w:val="28"/>
                <w:szCs w:val="21"/>
                <w:highlight w:val="none"/>
                <w:lang w:val="en-US" w:eastAsia="zh-CN"/>
                <w14:textFill>
                  <w14:solidFill>
                    <w14:schemeClr w14:val="tx1"/>
                  </w14:solidFill>
                </w14:textFill>
              </w:rPr>
              <w:t>90</w:t>
            </w:r>
            <w:r>
              <w:rPr>
                <w:rFonts w:hint="eastAsia"/>
                <w:color w:val="000000" w:themeColor="text1"/>
                <w:sz w:val="28"/>
                <w:szCs w:val="21"/>
                <w:highlight w:val="none"/>
                <w:lang w:val="en-US"/>
                <w14:textFill>
                  <w14:solidFill>
                    <w14:schemeClr w14:val="tx1"/>
                  </w14:solidFill>
                </w14:textFill>
              </w:rPr>
              <w:t>mm</w:t>
            </w:r>
          </w:p>
        </w:tc>
        <w:tc>
          <w:tcPr>
            <w:tcW w:w="787"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顶棚抹灰15</w:t>
            </w:r>
            <w:r>
              <w:rPr>
                <w:rFonts w:hint="eastAsia" w:ascii="宋体" w:hAnsi="宋体" w:cs="宋体"/>
                <w:color w:val="000000" w:themeColor="text1"/>
                <w:sz w:val="28"/>
                <w:szCs w:val="21"/>
                <w:highlight w:val="none"/>
                <w14:textFill>
                  <w14:solidFill>
                    <w14:schemeClr w14:val="tx1"/>
                  </w14:solidFill>
                </w14:textFill>
              </w:rPr>
              <w:t>mm</w:t>
            </w:r>
          </w:p>
        </w:tc>
        <w:tc>
          <w:tcPr>
            <w:tcW w:w="909" w:type="dxa"/>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14:textFill>
                  <w14:solidFill>
                    <w14:schemeClr w14:val="tx1"/>
                  </w14:solidFill>
                </w14:textFill>
              </w:rPr>
            </w:pPr>
          </w:p>
        </w:tc>
        <w:tc>
          <w:tcPr>
            <w:tcW w:w="1723" w:type="dxa"/>
            <w:vMerge w:val="continue"/>
            <w:tcBorders>
              <w:left w:val="single" w:color="auto" w:sz="4" w:space="0"/>
            </w:tcBorders>
            <w:shd w:val="clear" w:color="auto" w:fill="auto"/>
            <w:tcMar>
              <w:top w:w="15" w:type="dxa"/>
              <w:left w:w="15" w:type="dxa"/>
              <w:right w:w="15" w:type="dxa"/>
            </w:tcMar>
            <w:vAlign w:val="center"/>
          </w:tcPr>
          <w:p>
            <w:pPr>
              <w:spacing w:line="360" w:lineRule="auto"/>
              <w:jc w:val="center"/>
              <w:textAlignment w:val="center"/>
              <w:rPr>
                <w:color w:val="000000" w:themeColor="text1"/>
                <w:sz w:val="28"/>
                <w:szCs w:val="21"/>
                <w:highlight w:val="none"/>
                <w14:textFill>
                  <w14:solidFill>
                    <w14:schemeClr w14:val="tx1"/>
                  </w14:solidFill>
                </w14:textFill>
              </w:rPr>
            </w:pPr>
          </w:p>
        </w:tc>
      </w:tr>
    </w:tbl>
    <w:p>
      <w:pPr>
        <w:spacing w:line="360" w:lineRule="auto"/>
        <w:ind w:firstLine="420" w:firstLineChars="150"/>
        <w:rPr>
          <w:color w:val="000000" w:themeColor="text1"/>
          <w:sz w:val="28"/>
          <w:highlight w:val="none"/>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综上所述，可以认定本项目参考楼板撞击声隔声量约为</w:t>
      </w:r>
      <w:r>
        <w:rPr>
          <w:rFonts w:hint="eastAsia"/>
          <w:color w:val="000000" w:themeColor="text1"/>
          <w:sz w:val="28"/>
          <w:szCs w:val="24"/>
          <w:highlight w:val="none"/>
          <w:lang w:val="en-US" w:eastAsia="zh-CN"/>
          <w14:textFill>
            <w14:solidFill>
              <w14:schemeClr w14:val="tx1"/>
            </w14:solidFill>
          </w14:textFill>
        </w:rPr>
        <w:t>69.2</w:t>
      </w:r>
      <w:r>
        <w:rPr>
          <w:color w:val="000000" w:themeColor="text1"/>
          <w:sz w:val="28"/>
          <w:highlight w:val="none"/>
          <w14:textFill>
            <w14:solidFill>
              <w14:schemeClr w14:val="tx1"/>
            </w14:solidFill>
          </w14:textFill>
        </w:rPr>
        <w:t>dB。</w:t>
      </w:r>
    </w:p>
    <w:p>
      <w:pPr>
        <w:pStyle w:val="6"/>
        <w:spacing w:line="360" w:lineRule="auto"/>
        <w:rPr>
          <w:color w:val="000000" w:themeColor="text1"/>
          <w:sz w:val="28"/>
          <w:highlight w:val="none"/>
          <w14:textFill>
            <w14:solidFill>
              <w14:schemeClr w14:val="tx1"/>
            </w14:solidFill>
          </w14:textFill>
        </w:rPr>
      </w:pPr>
      <w:bookmarkStart w:id="74" w:name="_Toc31369"/>
      <w:bookmarkStart w:id="75" w:name="_Toc26017"/>
      <w:r>
        <w:rPr>
          <w:rFonts w:hint="eastAsia"/>
          <w:color w:val="000000" w:themeColor="text1"/>
          <w:sz w:val="28"/>
          <w:highlight w:val="none"/>
          <w14:textFill>
            <w14:solidFill>
              <w14:schemeClr w14:val="tx1"/>
            </w14:solidFill>
          </w14:textFill>
        </w:rPr>
        <w:t>建筑构件隔声性能分析结论</w:t>
      </w:r>
      <w:bookmarkEnd w:id="74"/>
      <w:bookmarkEnd w:id="75"/>
    </w:p>
    <w:tbl>
      <w:tblPr>
        <w:tblStyle w:val="25"/>
        <w:tblW w:w="83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851"/>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2953"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构造部位撞击声隔声量</w:t>
            </w:r>
          </w:p>
        </w:tc>
        <w:tc>
          <w:tcPr>
            <w:tcW w:w="85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w:t>
            </w:r>
          </w:p>
        </w:tc>
        <w:tc>
          <w:tcPr>
            <w:tcW w:w="1417"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低限标准值</w:t>
            </w:r>
          </w:p>
        </w:tc>
        <w:tc>
          <w:tcPr>
            <w:tcW w:w="170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高要求标准限值</w:t>
            </w:r>
          </w:p>
        </w:tc>
        <w:tc>
          <w:tcPr>
            <w:tcW w:w="1418"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85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7"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70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8"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953" w:type="dxa"/>
            <w:shd w:val="clear" w:color="auto" w:fill="auto"/>
            <w:vAlign w:val="center"/>
          </w:tcPr>
          <w:p>
            <w:pPr>
              <w:spacing w:line="360" w:lineRule="auto"/>
              <w:jc w:val="both"/>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语言教室、阅览室等之间的隔墙、楼板</w:t>
            </w:r>
          </w:p>
        </w:tc>
        <w:tc>
          <w:tcPr>
            <w:tcW w:w="851" w:type="dxa"/>
            <w:shd w:val="clear" w:color="auto" w:fill="auto"/>
            <w:vAlign w:val="center"/>
          </w:tcPr>
          <w:p>
            <w:pPr>
              <w:spacing w:line="360" w:lineRule="auto"/>
              <w:jc w:val="center"/>
              <w:rPr>
                <w:rFonts w:hint="default" w:ascii="宋体" w:hAnsi="宋体" w:eastAsia="宋体" w:cs="宋体"/>
                <w:color w:val="000000" w:themeColor="text1"/>
                <w:sz w:val="28"/>
                <w:szCs w:val="21"/>
                <w:highlight w:val="none"/>
                <w:lang w:val="en-US" w:eastAsia="zh-CN"/>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69.2</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≤75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≤65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≤70</w:t>
            </w:r>
          </w:p>
        </w:tc>
      </w:tr>
    </w:tbl>
    <w:p>
      <w:pPr>
        <w:spacing w:line="360" w:lineRule="auto"/>
        <w:ind w:firstLine="420" w:firstLineChars="150"/>
        <w:rPr>
          <w:color w:val="000000" w:themeColor="text1"/>
          <w:sz w:val="28"/>
          <w:szCs w:val="24"/>
          <w:highlight w:val="none"/>
          <w14:textFill>
            <w14:solidFill>
              <w14:schemeClr w14:val="tx1"/>
            </w14:solidFill>
          </w14:textFill>
        </w:rPr>
      </w:pPr>
    </w:p>
    <w:tbl>
      <w:tblPr>
        <w:tblStyle w:val="25"/>
        <w:tblW w:w="83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851"/>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构造部位空气计权隔声量</w:t>
            </w:r>
          </w:p>
        </w:tc>
        <w:tc>
          <w:tcPr>
            <w:tcW w:w="85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w:t>
            </w:r>
          </w:p>
        </w:tc>
        <w:tc>
          <w:tcPr>
            <w:tcW w:w="1417"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低限标准值</w:t>
            </w:r>
          </w:p>
        </w:tc>
        <w:tc>
          <w:tcPr>
            <w:tcW w:w="170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高要求标准限值</w:t>
            </w:r>
          </w:p>
        </w:tc>
        <w:tc>
          <w:tcPr>
            <w:tcW w:w="1418"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85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7"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70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8"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语言教室、阅览室的隔墙与楼板</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52.5</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普通教室之间的隔墙与楼板</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50.2</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外墙</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46.9</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外窗</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w:t>
            </w:r>
            <w:r>
              <w:rPr>
                <w:rFonts w:ascii="宋体" w:hAnsi="宋体" w:cs="宋体"/>
                <w:color w:val="000000" w:themeColor="text1"/>
                <w:sz w:val="28"/>
                <w:szCs w:val="21"/>
                <w:highlight w:val="none"/>
                <w:lang w:val="en-US"/>
                <w14:textFill>
                  <w14:solidFill>
                    <w14:schemeClr w14:val="tx1"/>
                  </w14:solidFill>
                </w14:textFill>
              </w:rPr>
              <w:t>2</w:t>
            </w:r>
            <w:r>
              <w:rPr>
                <w:rFonts w:hint="eastAsia" w:ascii="宋体" w:hAnsi="宋体" w:cs="宋体"/>
                <w:color w:val="000000" w:themeColor="text1"/>
                <w:sz w:val="28"/>
                <w:szCs w:val="21"/>
                <w:highlight w:val="none"/>
                <w:lang w:val="en-US"/>
                <w14:textFill>
                  <w14:solidFill>
                    <w14:schemeClr w14:val="tx1"/>
                  </w14:solidFill>
                </w14:textFill>
              </w:rPr>
              <w:t>.0</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25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35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门</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35.0</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≥25</w:t>
            </w:r>
          </w:p>
        </w:tc>
      </w:tr>
    </w:tbl>
    <w:p>
      <w:pPr>
        <w:spacing w:line="360" w:lineRule="auto"/>
        <w:ind w:firstLine="420" w:firstLineChars="150"/>
        <w:rPr>
          <w:color w:val="000000" w:themeColor="text1"/>
          <w:sz w:val="28"/>
          <w:szCs w:val="24"/>
          <w:highlight w:val="none"/>
          <w14:textFill>
            <w14:solidFill>
              <w14:schemeClr w14:val="tx1"/>
            </w14:solidFill>
          </w14:textFill>
        </w:rPr>
      </w:pPr>
    </w:p>
    <w:p>
      <w:pPr>
        <w:spacing w:line="360" w:lineRule="auto"/>
        <w:ind w:firstLine="420" w:firstLineChars="150"/>
        <w:rPr>
          <w:color w:val="000000" w:themeColor="text1"/>
          <w:sz w:val="28"/>
          <w:szCs w:val="24"/>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综上所述，该项目所涉及条款。</w:t>
      </w:r>
    </w:p>
    <w:p>
      <w:pPr>
        <w:spacing w:line="360" w:lineRule="auto"/>
        <w:ind w:firstLine="422" w:firstLineChars="150"/>
        <w:rPr>
          <w:color w:val="000000" w:themeColor="text1"/>
          <w:sz w:val="28"/>
          <w:szCs w:val="24"/>
          <w:highlight w:val="none"/>
          <w14:textFill>
            <w14:solidFill>
              <w14:schemeClr w14:val="tx1"/>
            </w14:solidFill>
          </w14:textFill>
        </w:rPr>
      </w:pPr>
      <w:r>
        <w:rPr>
          <w:rFonts w:hint="eastAsia"/>
          <w:b/>
          <w:color w:val="000000" w:themeColor="text1"/>
          <w:sz w:val="28"/>
          <w:szCs w:val="24"/>
          <w:highlight w:val="none"/>
          <w14:textFill>
            <w14:solidFill>
              <w14:schemeClr w14:val="tx1"/>
            </w14:solidFill>
          </w14:textFill>
        </w:rPr>
        <w:t xml:space="preserve"> 满足</w:t>
      </w:r>
      <w:r>
        <w:rPr>
          <w:rFonts w:hint="eastAsia"/>
          <w:color w:val="000000" w:themeColor="text1"/>
          <w:sz w:val="28"/>
          <w:szCs w:val="24"/>
          <w:highlight w:val="none"/>
          <w14:textFill>
            <w14:solidFill>
              <w14:schemeClr w14:val="tx1"/>
            </w14:solidFill>
          </w14:textFill>
        </w:rPr>
        <w:t>控制项</w:t>
      </w:r>
      <w:r>
        <w:rPr>
          <w:color w:val="000000" w:themeColor="text1"/>
          <w:sz w:val="28"/>
          <w:szCs w:val="24"/>
          <w:highlight w:val="none"/>
          <w14:textFill>
            <w14:solidFill>
              <w14:schemeClr w14:val="tx1"/>
            </w14:solidFill>
          </w14:textFill>
        </w:rPr>
        <w:t>5．1．</w:t>
      </w:r>
      <w:r>
        <w:rPr>
          <w:rFonts w:hint="eastAsia"/>
          <w:color w:val="000000" w:themeColor="text1"/>
          <w:sz w:val="28"/>
          <w:szCs w:val="24"/>
          <w:highlight w:val="none"/>
          <w14:textFill>
            <w14:solidFill>
              <w14:schemeClr w14:val="tx1"/>
            </w14:solidFill>
          </w14:textFill>
        </w:rPr>
        <w:t>4</w:t>
      </w:r>
      <w:r>
        <w:rPr>
          <w:color w:val="000000" w:themeColor="text1"/>
          <w:sz w:val="28"/>
          <w:szCs w:val="24"/>
          <w:highlight w:val="none"/>
          <w14:textFill>
            <w14:solidFill>
              <w14:schemeClr w14:val="tx1"/>
            </w14:solidFill>
          </w14:textFill>
        </w:rPr>
        <w:t xml:space="preserve"> 主要功能房间的外墙、隔墙、楼板和门窗的隔声性能应满足现行国家标准《民用建筑隔声设计规范》GB 50118中的低限要求。</w:t>
      </w:r>
    </w:p>
    <w:p>
      <w:pPr>
        <w:spacing w:line="360" w:lineRule="auto"/>
        <w:ind w:firstLine="420" w:firstLineChars="150"/>
        <w:rPr>
          <w:b/>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主要功能房间的隔声性能良好</w:t>
      </w:r>
      <w:r>
        <w:rPr>
          <w:rFonts w:hint="eastAsia"/>
          <w:color w:val="000000" w:themeColor="text1"/>
          <w:sz w:val="28"/>
          <w:szCs w:val="24"/>
          <w:highlight w:val="none"/>
          <w14:textFill>
            <w14:solidFill>
              <w14:schemeClr w14:val="tx1"/>
            </w14:solidFill>
          </w14:textFill>
        </w:rPr>
        <w:t>满足</w:t>
      </w:r>
      <w:r>
        <w:rPr>
          <w:color w:val="000000" w:themeColor="text1"/>
          <w:sz w:val="28"/>
          <w:szCs w:val="24"/>
          <w:highlight w:val="none"/>
          <w14:textFill>
            <w14:solidFill>
              <w14:schemeClr w14:val="tx1"/>
            </w14:solidFill>
          </w14:textFill>
        </w:rPr>
        <w:t>5.2.7</w:t>
      </w:r>
      <w:r>
        <w:rPr>
          <w:rFonts w:hint="eastAsia"/>
          <w:color w:val="000000" w:themeColor="text1"/>
          <w:sz w:val="28"/>
          <w:szCs w:val="24"/>
          <w:highlight w:val="none"/>
          <w14:textFill>
            <w14:solidFill>
              <w14:schemeClr w14:val="tx1"/>
            </w14:solidFill>
          </w14:textFill>
        </w:rPr>
        <w:t>中</w:t>
      </w:r>
      <w:r>
        <w:rPr>
          <w:color w:val="000000" w:themeColor="text1"/>
          <w:sz w:val="28"/>
          <w:szCs w:val="24"/>
          <w:highlight w:val="none"/>
          <w14:textFill>
            <w14:solidFill>
              <w14:schemeClr w14:val="tx1"/>
            </w14:solidFill>
          </w14:textFill>
        </w:rPr>
        <w:t>构件及相邻房间之间的空气声隔声性能达到现行国家标准《民用建筑隔声设计规范》GB 50118中的低限标准限值</w:t>
      </w:r>
      <w:r>
        <w:rPr>
          <w:rFonts w:hint="eastAsia"/>
          <w:color w:val="000000" w:themeColor="text1"/>
          <w:sz w:val="28"/>
          <w:szCs w:val="24"/>
          <w:highlight w:val="none"/>
          <w14:textFill>
            <w14:solidFill>
              <w14:schemeClr w14:val="tx1"/>
            </w14:solidFill>
          </w14:textFill>
        </w:rPr>
        <w:t>和高要求标准限值的平均值，</w:t>
      </w:r>
      <w:r>
        <w:rPr>
          <w:rFonts w:hint="eastAsia"/>
          <w:color w:val="000000" w:themeColor="text1"/>
          <w:sz w:val="28"/>
          <w:szCs w:val="24"/>
          <w:highlight w:val="none"/>
          <w:lang w:val="en-US"/>
          <w14:textFill>
            <w14:solidFill>
              <w14:schemeClr w14:val="tx1"/>
            </w14:solidFill>
          </w14:textFill>
        </w:rPr>
        <w:t>得</w:t>
      </w:r>
      <w:r>
        <w:rPr>
          <w:color w:val="000000" w:themeColor="text1"/>
          <w:sz w:val="28"/>
          <w:szCs w:val="24"/>
          <w:highlight w:val="none"/>
          <w:lang w:val="en-US"/>
          <w14:textFill>
            <w14:solidFill>
              <w14:schemeClr w14:val="tx1"/>
            </w14:solidFill>
          </w14:textFill>
        </w:rPr>
        <w:t>3</w:t>
      </w:r>
      <w:r>
        <w:rPr>
          <w:rFonts w:hint="eastAsia"/>
          <w:color w:val="000000" w:themeColor="text1"/>
          <w:sz w:val="28"/>
          <w:szCs w:val="24"/>
          <w:highlight w:val="none"/>
          <w:lang w:val="en-US"/>
          <w14:textFill>
            <w14:solidFill>
              <w14:schemeClr w14:val="tx1"/>
            </w14:solidFill>
          </w14:textFill>
        </w:rPr>
        <w:t>分</w:t>
      </w:r>
      <w:r>
        <w:rPr>
          <w:color w:val="000000" w:themeColor="text1"/>
          <w:sz w:val="28"/>
          <w:szCs w:val="24"/>
          <w:highlight w:val="none"/>
          <w14:textFill>
            <w14:solidFill>
              <w14:schemeClr w14:val="tx1"/>
            </w14:solidFill>
          </w14:textFill>
        </w:rPr>
        <w:t>；楼板的撞击声隔声性能达到现行国家标准《民用建筑隔声设计规范》GB 50118中的低限标准限值</w:t>
      </w:r>
      <w:r>
        <w:rPr>
          <w:rFonts w:hint="eastAsia"/>
          <w:color w:val="000000" w:themeColor="text1"/>
          <w:sz w:val="28"/>
          <w:szCs w:val="24"/>
          <w:highlight w:val="none"/>
          <w14:textFill>
            <w14:solidFill>
              <w14:schemeClr w14:val="tx1"/>
            </w14:solidFill>
          </w14:textFill>
        </w:rPr>
        <w:t>和高要求标准限值的平均值</w:t>
      </w:r>
      <w:r>
        <w:rPr>
          <w:color w:val="000000" w:themeColor="text1"/>
          <w:sz w:val="28"/>
          <w:szCs w:val="24"/>
          <w:highlight w:val="none"/>
          <w14:textFill>
            <w14:solidFill>
              <w14:schemeClr w14:val="tx1"/>
            </w14:solidFill>
          </w14:textFill>
        </w:rPr>
        <w:t>，得</w:t>
      </w:r>
      <w:r>
        <w:rPr>
          <w:rFonts w:hint="eastAsia"/>
          <w:color w:val="000000" w:themeColor="text1"/>
          <w:sz w:val="28"/>
          <w:szCs w:val="24"/>
          <w:highlight w:val="none"/>
          <w:lang w:val="en-US" w:eastAsia="zh-CN"/>
          <w14:textFill>
            <w14:solidFill>
              <w14:schemeClr w14:val="tx1"/>
            </w14:solidFill>
          </w14:textFill>
        </w:rPr>
        <w:t>3</w:t>
      </w:r>
      <w:r>
        <w:rPr>
          <w:color w:val="000000" w:themeColor="text1"/>
          <w:sz w:val="28"/>
          <w:szCs w:val="24"/>
          <w:highlight w:val="none"/>
          <w14:textFill>
            <w14:solidFill>
              <w14:schemeClr w14:val="tx1"/>
            </w14:solidFill>
          </w14:textFill>
        </w:rPr>
        <w:t>分；</w:t>
      </w:r>
      <w:r>
        <w:rPr>
          <w:rFonts w:hint="eastAsia"/>
          <w:b/>
          <w:color w:val="000000" w:themeColor="text1"/>
          <w:sz w:val="28"/>
          <w:szCs w:val="24"/>
          <w:highlight w:val="none"/>
          <w14:textFill>
            <w14:solidFill>
              <w14:schemeClr w14:val="tx1"/>
            </w14:solidFill>
          </w14:textFill>
        </w:rPr>
        <w:t>得分</w:t>
      </w:r>
      <w:r>
        <w:rPr>
          <w:rFonts w:hint="eastAsia"/>
          <w:b/>
          <w:color w:val="000000" w:themeColor="text1"/>
          <w:sz w:val="28"/>
          <w:szCs w:val="24"/>
          <w:highlight w:val="none"/>
          <w:lang w:val="en-US" w:eastAsia="zh-CN"/>
          <w14:textFill>
            <w14:solidFill>
              <w14:schemeClr w14:val="tx1"/>
            </w14:solidFill>
          </w14:textFill>
        </w:rPr>
        <w:t>6</w:t>
      </w:r>
      <w:r>
        <w:rPr>
          <w:rFonts w:hint="eastAsia"/>
          <w:b/>
          <w:color w:val="000000" w:themeColor="text1"/>
          <w:sz w:val="28"/>
          <w:szCs w:val="24"/>
          <w:highlight w:val="none"/>
          <w14:textFill>
            <w14:solidFill>
              <w14:schemeClr w14:val="tx1"/>
            </w14:solidFill>
          </w14:textFill>
        </w:rPr>
        <w:t>分。</w:t>
      </w:r>
    </w:p>
    <w:p>
      <w:pPr>
        <w:pStyle w:val="3"/>
        <w:spacing w:line="360" w:lineRule="auto"/>
        <w:rPr>
          <w:color w:val="000000" w:themeColor="text1"/>
          <w:highlight w:val="none"/>
          <w14:textFill>
            <w14:solidFill>
              <w14:schemeClr w14:val="tx1"/>
            </w14:solidFill>
          </w14:textFill>
        </w:rPr>
      </w:pPr>
      <w:bookmarkStart w:id="76" w:name="_Toc25801"/>
      <w:bookmarkStart w:id="77" w:name="_Toc12009"/>
      <w:bookmarkStart w:id="78" w:name="_Toc16428"/>
      <w:r>
        <w:rPr>
          <w:rFonts w:hint="eastAsia"/>
          <w:color w:val="000000" w:themeColor="text1"/>
          <w:highlight w:val="none"/>
          <w14:textFill>
            <w14:solidFill>
              <w14:schemeClr w14:val="tx1"/>
            </w14:solidFill>
          </w14:textFill>
        </w:rPr>
        <w:t>房间背景噪声计算</w:t>
      </w:r>
      <w:bookmarkEnd w:id="76"/>
      <w:bookmarkEnd w:id="77"/>
      <w:bookmarkEnd w:id="78"/>
    </w:p>
    <w:p>
      <w:pPr>
        <w:pStyle w:val="5"/>
        <w:spacing w:line="360" w:lineRule="auto"/>
        <w:rPr>
          <w:color w:val="000000" w:themeColor="text1"/>
          <w:sz w:val="28"/>
          <w:highlight w:val="none"/>
          <w14:textFill>
            <w14:solidFill>
              <w14:schemeClr w14:val="tx1"/>
            </w14:solidFill>
          </w14:textFill>
        </w:rPr>
      </w:pPr>
      <w:bookmarkStart w:id="79" w:name="_Toc4370"/>
      <w:bookmarkStart w:id="80" w:name="_Toc6955"/>
      <w:bookmarkStart w:id="81" w:name="_Toc30892"/>
      <w:r>
        <w:rPr>
          <w:rFonts w:hint="eastAsia"/>
          <w:color w:val="000000" w:themeColor="text1"/>
          <w:sz w:val="28"/>
          <w:highlight w:val="none"/>
          <w14:textFill>
            <w14:solidFill>
              <w14:schemeClr w14:val="tx1"/>
            </w14:solidFill>
          </w14:textFill>
        </w:rPr>
        <w:t>声环境质量概况</w:t>
      </w:r>
      <w:bookmarkEnd w:id="79"/>
      <w:bookmarkEnd w:id="80"/>
      <w:bookmarkEnd w:id="81"/>
    </w:p>
    <w:p>
      <w:pPr>
        <w:spacing w:line="360" w:lineRule="auto"/>
        <w:rPr>
          <w:color w:val="000000" w:themeColor="text1"/>
          <w:sz w:val="28"/>
          <w:highlight w:val="none"/>
          <w:lang w:val="en-US"/>
          <w14:textFill>
            <w14:solidFill>
              <w14:schemeClr w14:val="tx1"/>
            </w14:solidFill>
          </w14:textFill>
        </w:rPr>
      </w:pPr>
      <w:r>
        <w:rPr>
          <w:rFonts w:hint="eastAsia"/>
          <w:color w:val="000000" w:themeColor="text1"/>
          <w:sz w:val="28"/>
          <w:highlight w:val="none"/>
          <w:lang w:val="en-US"/>
          <w14:textFill>
            <w14:solidFill>
              <w14:schemeClr w14:val="tx1"/>
            </w14:solidFill>
          </w14:textFill>
        </w:rPr>
        <w:t>本项目按照观测噪声结果，各建筑1.</w:t>
      </w:r>
      <w:r>
        <w:rPr>
          <w:color w:val="000000" w:themeColor="text1"/>
          <w:sz w:val="28"/>
          <w:highlight w:val="none"/>
          <w:lang w:val="en-US"/>
          <w14:textFill>
            <w14:solidFill>
              <w14:schemeClr w14:val="tx1"/>
            </w14:solidFill>
          </w14:textFill>
        </w:rPr>
        <w:t>5</w:t>
      </w:r>
      <w:r>
        <w:rPr>
          <w:rFonts w:hint="eastAsia"/>
          <w:color w:val="000000" w:themeColor="text1"/>
          <w:sz w:val="28"/>
          <w:highlight w:val="none"/>
          <w:lang w:val="en-US"/>
          <w14:textFill>
            <w14:solidFill>
              <w14:schemeClr w14:val="tx1"/>
            </w14:solidFill>
          </w14:textFill>
        </w:rPr>
        <w:t>米高度噪声最大值为下表所示</w:t>
      </w:r>
    </w:p>
    <w:p>
      <w:pPr>
        <w:spacing w:line="360" w:lineRule="auto"/>
        <w:jc w:val="center"/>
        <w:rPr>
          <w:color w:val="000000" w:themeColor="text1"/>
          <w:sz w:val="28"/>
          <w:szCs w:val="21"/>
          <w:highlight w:val="none"/>
          <w14:textFill>
            <w14:solidFill>
              <w14:schemeClr w14:val="tx1"/>
            </w14:solidFill>
          </w14:textFill>
        </w:rPr>
      </w:pPr>
      <w:r>
        <w:rPr>
          <w:rFonts w:hint="eastAsia" w:cs="宋体"/>
          <w:color w:val="000000" w:themeColor="text1"/>
          <w:sz w:val="28"/>
          <w:szCs w:val="21"/>
          <w:highlight w:val="none"/>
          <w14:textFill>
            <w14:solidFill>
              <w14:schemeClr w14:val="tx1"/>
            </w14:solidFill>
          </w14:textFill>
        </w:rPr>
        <w:t xml:space="preserve">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hint="eastAsia" w:ascii="宋体" w:hAnsi="宋体"/>
          <w:color w:val="000000" w:themeColor="text1"/>
          <w:sz w:val="28"/>
          <w:szCs w:val="21"/>
          <w:highlight w:val="none"/>
          <w14:textFill>
            <w14:solidFill>
              <w14:schemeClr w14:val="tx1"/>
            </w14:solidFill>
          </w14:textFill>
        </w:rPr>
        <w:t>表4</w:t>
      </w:r>
      <w:r>
        <w:rPr>
          <w:rFonts w:ascii="宋体" w:hAnsi="宋体"/>
          <w:color w:val="000000" w:themeColor="text1"/>
          <w:sz w:val="28"/>
          <w:szCs w:val="21"/>
          <w:highlight w:val="none"/>
          <w14:textFill>
            <w14:solidFill>
              <w14:schemeClr w14:val="tx1"/>
            </w14:solidFill>
          </w14:textFill>
        </w:rPr>
        <w:t xml:space="preserve">-2 </w:t>
      </w:r>
      <w:r>
        <w:rPr>
          <w:rFonts w:hint="eastAsia" w:ascii="宋体" w:hAnsi="宋体"/>
          <w:color w:val="000000" w:themeColor="text1"/>
          <w:sz w:val="28"/>
          <w:szCs w:val="21"/>
          <w:highlight w:val="none"/>
          <w14:textFill>
            <w14:solidFill>
              <w14:schemeClr w14:val="tx1"/>
            </w14:solidFill>
          </w14:textFill>
        </w:rPr>
        <w:t xml:space="preserve">参评建筑达标统计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hint="eastAsia"/>
          <w:color w:val="000000" w:themeColor="text1"/>
          <w:sz w:val="28"/>
          <w:szCs w:val="21"/>
          <w:highlight w:val="none"/>
          <w14:textFill>
            <w14:solidFill>
              <w14:schemeClr w14:val="tx1"/>
            </w14:solidFill>
          </w14:textFill>
        </w:rPr>
        <w:t>单位</w:t>
      </w:r>
      <w:r>
        <w:rPr>
          <w:color w:val="000000" w:themeColor="text1"/>
          <w:sz w:val="28"/>
          <w:szCs w:val="21"/>
          <w:highlight w:val="none"/>
          <w14:textFill>
            <w14:solidFill>
              <w14:schemeClr w14:val="tx1"/>
            </w14:solidFill>
          </w14:textFill>
        </w:rPr>
        <w:t>：dB(A</w:t>
      </w:r>
      <w:r>
        <w:rPr>
          <w:rFonts w:hint="eastAsia"/>
          <w:color w:val="000000" w:themeColor="text1"/>
          <w:sz w:val="28"/>
          <w:szCs w:val="21"/>
          <w:highlight w:val="none"/>
          <w14:textFill>
            <w14:solidFill>
              <w14:schemeClr w14:val="tx1"/>
            </w14:solidFill>
          </w14:textFill>
        </w:rPr>
        <w:t>)</w:t>
      </w:r>
    </w:p>
    <w:tbl>
      <w:tblPr>
        <w:tblStyle w:val="25"/>
        <w:tblW w:w="826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建筑名称</w:t>
            </w:r>
          </w:p>
        </w:tc>
        <w:tc>
          <w:tcPr>
            <w:tcW w:w="848"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时段</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1.5米高度</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噪声最大值</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2类</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噪声限值</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3类</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噪声限值</w:t>
            </w:r>
          </w:p>
        </w:tc>
        <w:tc>
          <w:tcPr>
            <w:tcW w:w="1359"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得分</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1-A#</w:t>
            </w:r>
          </w:p>
        </w:tc>
        <w:tc>
          <w:tcPr>
            <w:tcW w:w="848" w:type="dxa"/>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昼间</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51</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60</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65</w:t>
            </w:r>
          </w:p>
        </w:tc>
        <w:tc>
          <w:tcPr>
            <w:tcW w:w="1359" w:type="dxa"/>
            <w:vMerge w:val="restart"/>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color w:val="000000" w:themeColor="text1"/>
                <w:sz w:val="28"/>
                <w:highlight w:val="none"/>
                <w14:textFill>
                  <w14:solidFill>
                    <w14:schemeClr w14:val="tx1"/>
                  </w14:solidFill>
                </w14:textFill>
              </w:rPr>
            </w:pPr>
          </w:p>
        </w:tc>
        <w:tc>
          <w:tcPr>
            <w:tcW w:w="848" w:type="dxa"/>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夜间</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45</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50</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55</w:t>
            </w:r>
          </w:p>
        </w:tc>
        <w:tc>
          <w:tcPr>
            <w:tcW w:w="1359" w:type="dxa"/>
            <w:vMerge w:val="continue"/>
            <w:vAlign w:val="center"/>
          </w:tcPr>
          <w:p>
            <w:pPr>
              <w:jc w:val="center"/>
              <w:rPr>
                <w:color w:val="000000" w:themeColor="text1"/>
                <w:sz w:val="28"/>
                <w:highlight w:val="none"/>
                <w14:textFill>
                  <w14:solidFill>
                    <w14:schemeClr w14:val="tx1"/>
                  </w14:solidFill>
                </w14:textFill>
              </w:rPr>
            </w:pPr>
          </w:p>
        </w:tc>
      </w:tr>
    </w:tbl>
    <w:p>
      <w:pPr>
        <w:pStyle w:val="5"/>
        <w:spacing w:line="360" w:lineRule="auto"/>
        <w:rPr>
          <w:color w:val="000000" w:themeColor="text1"/>
          <w:sz w:val="28"/>
          <w:highlight w:val="none"/>
          <w14:textFill>
            <w14:solidFill>
              <w14:schemeClr w14:val="tx1"/>
            </w14:solidFill>
          </w14:textFill>
        </w:rPr>
      </w:pPr>
      <w:bookmarkStart w:id="82" w:name="_Toc16549"/>
      <w:bookmarkStart w:id="83" w:name="_Toc32192"/>
      <w:r>
        <w:rPr>
          <w:rFonts w:hint="eastAsia"/>
          <w:color w:val="000000" w:themeColor="text1"/>
          <w:sz w:val="28"/>
          <w:highlight w:val="none"/>
          <w14:textFill>
            <w14:solidFill>
              <w14:schemeClr w14:val="tx1"/>
            </w14:solidFill>
          </w14:textFill>
        </w:rPr>
        <w:t>项目边界条件</w:t>
      </w:r>
      <w:bookmarkEnd w:id="82"/>
      <w:bookmarkEnd w:id="83"/>
    </w:p>
    <w:p>
      <w:pPr>
        <w:spacing w:line="360" w:lineRule="auto"/>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由计算模拟可知，</w:t>
      </w:r>
    </w:p>
    <w:p>
      <w:pPr>
        <w:spacing w:line="360" w:lineRule="auto"/>
        <w:jc w:val="center"/>
        <w:rPr>
          <w:color w:val="000000" w:themeColor="text1"/>
          <w:sz w:val="28"/>
          <w:szCs w:val="21"/>
          <w:highlight w:val="none"/>
          <w14:textFill>
            <w14:solidFill>
              <w14:schemeClr w14:val="tx1"/>
            </w14:solidFill>
          </w14:textFill>
        </w:rPr>
      </w:pPr>
      <w:r>
        <w:rPr>
          <w:rFonts w:hint="eastAsia" w:cs="宋体"/>
          <w:color w:val="000000" w:themeColor="text1"/>
          <w:sz w:val="28"/>
          <w:szCs w:val="21"/>
          <w:highlight w:val="none"/>
          <w14:textFill>
            <w14:solidFill>
              <w14:schemeClr w14:val="tx1"/>
            </w14:solidFill>
          </w14:textFill>
        </w:rPr>
        <w:t xml:space="preserve">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hint="eastAsia" w:ascii="宋体" w:hAnsi="宋体"/>
          <w:color w:val="000000" w:themeColor="text1"/>
          <w:sz w:val="28"/>
          <w:szCs w:val="21"/>
          <w:highlight w:val="none"/>
          <w14:textFill>
            <w14:solidFill>
              <w14:schemeClr w14:val="tx1"/>
            </w14:solidFill>
          </w14:textFill>
        </w:rPr>
        <w:t>表4</w:t>
      </w:r>
      <w:r>
        <w:rPr>
          <w:rFonts w:ascii="宋体" w:hAnsi="宋体"/>
          <w:color w:val="000000" w:themeColor="text1"/>
          <w:sz w:val="28"/>
          <w:szCs w:val="21"/>
          <w:highlight w:val="none"/>
          <w14:textFill>
            <w14:solidFill>
              <w14:schemeClr w14:val="tx1"/>
            </w14:solidFill>
          </w14:textFill>
        </w:rPr>
        <w:t xml:space="preserve">-2 </w:t>
      </w:r>
      <w:r>
        <w:rPr>
          <w:rFonts w:hint="eastAsia" w:ascii="宋体" w:hAnsi="宋体"/>
          <w:color w:val="000000" w:themeColor="text1"/>
          <w:sz w:val="28"/>
          <w:szCs w:val="21"/>
          <w:highlight w:val="none"/>
          <w14:textFill>
            <w14:solidFill>
              <w14:schemeClr w14:val="tx1"/>
            </w14:solidFill>
          </w14:textFill>
        </w:rPr>
        <w:t xml:space="preserve">参评建筑达标统计  </w:t>
      </w:r>
      <w:r>
        <w:rPr>
          <w:rFonts w:cs="宋体"/>
          <w:color w:val="000000" w:themeColor="text1"/>
          <w:sz w:val="28"/>
          <w:szCs w:val="21"/>
          <w:highlight w:val="none"/>
          <w14:textFill>
            <w14:solidFill>
              <w14:schemeClr w14:val="tx1"/>
            </w14:solidFill>
          </w14:textFill>
        </w:rPr>
        <w:t xml:space="preserve">           </w:t>
      </w:r>
      <w:r>
        <w:rPr>
          <w:rFonts w:hint="eastAsia" w:cs="宋体"/>
          <w:color w:val="000000" w:themeColor="text1"/>
          <w:sz w:val="28"/>
          <w:szCs w:val="21"/>
          <w:highlight w:val="none"/>
          <w14:textFill>
            <w14:solidFill>
              <w14:schemeClr w14:val="tx1"/>
            </w14:solidFill>
          </w14:textFill>
        </w:rPr>
        <w:t xml:space="preserve">   </w:t>
      </w:r>
      <w:r>
        <w:rPr>
          <w:rFonts w:hint="eastAsia"/>
          <w:color w:val="000000" w:themeColor="text1"/>
          <w:sz w:val="28"/>
          <w:szCs w:val="21"/>
          <w:highlight w:val="none"/>
          <w14:textFill>
            <w14:solidFill>
              <w14:schemeClr w14:val="tx1"/>
            </w14:solidFill>
          </w14:textFill>
        </w:rPr>
        <w:t>单位</w:t>
      </w:r>
      <w:r>
        <w:rPr>
          <w:color w:val="000000" w:themeColor="text1"/>
          <w:sz w:val="28"/>
          <w:szCs w:val="21"/>
          <w:highlight w:val="none"/>
          <w14:textFill>
            <w14:solidFill>
              <w14:schemeClr w14:val="tx1"/>
            </w14:solidFill>
          </w14:textFill>
        </w:rPr>
        <w:t>：dB(A</w:t>
      </w:r>
      <w:r>
        <w:rPr>
          <w:rFonts w:hint="eastAsia"/>
          <w:color w:val="000000" w:themeColor="text1"/>
          <w:sz w:val="28"/>
          <w:szCs w:val="21"/>
          <w:highlight w:val="none"/>
          <w14:textFill>
            <w14:solidFill>
              <w14:schemeClr w14:val="tx1"/>
            </w14:solidFill>
          </w14:textFill>
        </w:rPr>
        <w:t>)</w:t>
      </w:r>
    </w:p>
    <w:tbl>
      <w:tblPr>
        <w:tblStyle w:val="25"/>
        <w:tblW w:w="826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建筑名称</w:t>
            </w:r>
          </w:p>
        </w:tc>
        <w:tc>
          <w:tcPr>
            <w:tcW w:w="848"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时段</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1.5米高度</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噪声最大值</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2类</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噪声限值</w:t>
            </w:r>
          </w:p>
        </w:tc>
        <w:tc>
          <w:tcPr>
            <w:tcW w:w="1302"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3类</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噪声限值</w:t>
            </w:r>
          </w:p>
        </w:tc>
        <w:tc>
          <w:tcPr>
            <w:tcW w:w="1359" w:type="dxa"/>
            <w:shd w:val="clear" w:color="auto" w:fill="E6E6E6"/>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得分</w:t>
            </w:r>
            <w:r>
              <w:rPr>
                <w:b/>
                <w:color w:val="000000" w:themeColor="text1"/>
                <w:sz w:val="28"/>
                <w:highlight w:val="none"/>
                <w14:textFill>
                  <w14:solidFill>
                    <w14:schemeClr w14:val="tx1"/>
                  </w14:solidFill>
                </w14:textFill>
              </w:rPr>
              <w:br w:type="textWrapping"/>
            </w:r>
            <w:r>
              <w:rPr>
                <w:b/>
                <w:color w:val="000000" w:themeColor="text1"/>
                <w:sz w:val="28"/>
                <w:highlight w:val="none"/>
                <w14:textFill>
                  <w14:solidFill>
                    <w14:schemeClr w14:val="tx1"/>
                  </w14:solidFill>
                </w14:textFill>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1-A#</w:t>
            </w:r>
          </w:p>
        </w:tc>
        <w:tc>
          <w:tcPr>
            <w:tcW w:w="848" w:type="dxa"/>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昼间</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51</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60</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65</w:t>
            </w:r>
          </w:p>
        </w:tc>
        <w:tc>
          <w:tcPr>
            <w:tcW w:w="1359" w:type="dxa"/>
            <w:vMerge w:val="restart"/>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color w:val="000000" w:themeColor="text1"/>
                <w:sz w:val="28"/>
                <w:highlight w:val="none"/>
                <w14:textFill>
                  <w14:solidFill>
                    <w14:schemeClr w14:val="tx1"/>
                  </w14:solidFill>
                </w14:textFill>
              </w:rPr>
            </w:pPr>
          </w:p>
        </w:tc>
        <w:tc>
          <w:tcPr>
            <w:tcW w:w="848" w:type="dxa"/>
            <w:vAlign w:val="center"/>
          </w:tcPr>
          <w:p>
            <w:pPr>
              <w:jc w:val="center"/>
              <w:rPr>
                <w:color w:val="000000" w:themeColor="text1"/>
                <w:sz w:val="28"/>
                <w:highlight w:val="none"/>
                <w14:textFill>
                  <w14:solidFill>
                    <w14:schemeClr w14:val="tx1"/>
                  </w14:solidFill>
                </w14:textFill>
              </w:rPr>
            </w:pPr>
            <w:r>
              <w:rPr>
                <w:b/>
                <w:color w:val="000000" w:themeColor="text1"/>
                <w:sz w:val="28"/>
                <w:highlight w:val="none"/>
                <w14:textFill>
                  <w14:solidFill>
                    <w14:schemeClr w14:val="tx1"/>
                  </w14:solidFill>
                </w14:textFill>
              </w:rPr>
              <w:t>夜间</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45</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50</w:t>
            </w:r>
          </w:p>
        </w:tc>
        <w:tc>
          <w:tcPr>
            <w:tcW w:w="1302" w:type="dxa"/>
            <w:vAlign w:val="center"/>
          </w:tcPr>
          <w:p>
            <w:pPr>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55</w:t>
            </w:r>
          </w:p>
        </w:tc>
        <w:tc>
          <w:tcPr>
            <w:tcW w:w="1359" w:type="dxa"/>
            <w:vMerge w:val="continue"/>
            <w:vAlign w:val="center"/>
          </w:tcPr>
          <w:p>
            <w:pPr>
              <w:jc w:val="center"/>
              <w:rPr>
                <w:color w:val="000000" w:themeColor="text1"/>
                <w:sz w:val="28"/>
                <w:highlight w:val="none"/>
                <w14:textFill>
                  <w14:solidFill>
                    <w14:schemeClr w14:val="tx1"/>
                  </w14:solidFill>
                </w14:textFill>
              </w:rPr>
            </w:pPr>
          </w:p>
        </w:tc>
      </w:tr>
    </w:tbl>
    <w:p>
      <w:pPr>
        <w:spacing w:line="360" w:lineRule="auto"/>
        <w:rPr>
          <w:color w:val="000000" w:themeColor="text1"/>
          <w:sz w:val="28"/>
          <w:highlight w:val="none"/>
          <w:lang w:val="en-US"/>
          <w14:textFill>
            <w14:solidFill>
              <w14:schemeClr w14:val="tx1"/>
            </w14:solidFill>
          </w14:textFill>
        </w:rPr>
      </w:pPr>
    </w:p>
    <w:p>
      <w:pPr>
        <w:pStyle w:val="5"/>
        <w:spacing w:line="360" w:lineRule="auto"/>
        <w:rPr>
          <w:color w:val="000000" w:themeColor="text1"/>
          <w:sz w:val="28"/>
          <w:highlight w:val="none"/>
          <w14:textFill>
            <w14:solidFill>
              <w14:schemeClr w14:val="tx1"/>
            </w14:solidFill>
          </w14:textFill>
        </w:rPr>
      </w:pPr>
      <w:bookmarkStart w:id="84" w:name="_Toc8728"/>
      <w:bookmarkStart w:id="85" w:name="_Toc3546"/>
      <w:bookmarkStart w:id="86" w:name="_Toc15942"/>
      <w:r>
        <w:rPr>
          <w:rFonts w:hint="eastAsia"/>
          <w:color w:val="000000" w:themeColor="text1"/>
          <w:sz w:val="28"/>
          <w:highlight w:val="none"/>
          <w14:textFill>
            <w14:solidFill>
              <w14:schemeClr w14:val="tx1"/>
            </w14:solidFill>
          </w14:textFill>
        </w:rPr>
        <w:t>最不利起房间室内背景噪声计算</w:t>
      </w:r>
      <w:bookmarkEnd w:id="84"/>
      <w:bookmarkEnd w:id="85"/>
      <w:bookmarkEnd w:id="86"/>
      <w:bookmarkStart w:id="104" w:name="_GoBack"/>
      <w:bookmarkEnd w:id="104"/>
    </w:p>
    <w:p>
      <w:pPr>
        <w:pStyle w:val="6"/>
        <w:spacing w:line="360" w:lineRule="auto"/>
        <w:rPr>
          <w:color w:val="000000" w:themeColor="text1"/>
          <w:sz w:val="28"/>
          <w:highlight w:val="none"/>
          <w14:textFill>
            <w14:solidFill>
              <w14:schemeClr w14:val="tx1"/>
            </w14:solidFill>
          </w14:textFill>
        </w:rPr>
      </w:pPr>
      <w:bookmarkStart w:id="87" w:name="_Toc27713"/>
      <w:bookmarkStart w:id="88" w:name="_Toc1765"/>
      <w:r>
        <w:rPr>
          <w:rFonts w:hint="eastAsia"/>
          <w:color w:val="000000" w:themeColor="text1"/>
          <w:sz w:val="28"/>
          <w:highlight w:val="none"/>
          <w14:textFill>
            <w14:solidFill>
              <w14:schemeClr w14:val="tx1"/>
            </w14:solidFill>
          </w14:textFill>
        </w:rPr>
        <w:t>组合墙体有效隔声量计算</w:t>
      </w:r>
      <w:bookmarkEnd w:id="87"/>
      <w:bookmarkEnd w:id="88"/>
    </w:p>
    <w:p>
      <w:pPr>
        <w:spacing w:line="360" w:lineRule="auto"/>
        <w:rPr>
          <w:color w:val="000000" w:themeColor="text1"/>
          <w:sz w:val="28"/>
          <w:szCs w:val="24"/>
          <w:highlight w:val="none"/>
          <w:lang w:val="en-US"/>
          <w14:textFill>
            <w14:solidFill>
              <w14:schemeClr w14:val="tx1"/>
            </w14:solidFill>
          </w14:textFill>
        </w:rPr>
      </w:pPr>
      <w:r>
        <w:rPr>
          <w:rFonts w:hint="eastAsia"/>
          <w:color w:val="000000" w:themeColor="text1"/>
          <w:sz w:val="28"/>
          <w:szCs w:val="24"/>
          <w:highlight w:val="none"/>
          <w:lang w:val="en-US"/>
          <w14:textFill>
            <w14:solidFill>
              <w14:schemeClr w14:val="tx1"/>
            </w14:solidFill>
          </w14:textFill>
        </w:rPr>
        <w:t>平面图如下：</w:t>
      </w:r>
    </w:p>
    <w:p>
      <w:pPr>
        <w:spacing w:line="360" w:lineRule="auto"/>
        <w:jc w:val="center"/>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drawing>
          <wp:inline distT="0" distB="0" distL="0" distR="0">
            <wp:extent cx="5759450" cy="37693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stretch>
                      <a:fillRect/>
                    </a:stretch>
                  </pic:blipFill>
                  <pic:spPr>
                    <a:xfrm>
                      <a:off x="0" y="0"/>
                      <a:ext cx="5759450" cy="3769360"/>
                    </a:xfrm>
                    <a:prstGeom prst="rect">
                      <a:avLst/>
                    </a:prstGeom>
                  </pic:spPr>
                </pic:pic>
              </a:graphicData>
            </a:graphic>
          </wp:inline>
        </w:drawing>
      </w:r>
    </w:p>
    <w:p>
      <w:pPr>
        <w:spacing w:line="360" w:lineRule="auto"/>
        <w:jc w:val="center"/>
        <w:rPr>
          <w:color w:val="000000" w:themeColor="text1"/>
          <w:sz w:val="28"/>
          <w:highlight w:val="none"/>
          <w:lang w:val="en-US"/>
          <w14:textFill>
            <w14:solidFill>
              <w14:schemeClr w14:val="tx1"/>
            </w14:solidFill>
          </w14:textFill>
        </w:rPr>
      </w:pPr>
    </w:p>
    <w:p>
      <w:pPr>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房间相关几何参数：</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10</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房间相关尺寸</w:t>
      </w:r>
    </w:p>
    <w:tbl>
      <w:tblPr>
        <w:tblStyle w:val="25"/>
        <w:tblW w:w="4999" w:type="pct"/>
        <w:tblInd w:w="0" w:type="dxa"/>
        <w:tblLayout w:type="autofit"/>
        <w:tblCellMar>
          <w:top w:w="0" w:type="dxa"/>
          <w:left w:w="0" w:type="dxa"/>
          <w:bottom w:w="0" w:type="dxa"/>
          <w:right w:w="0" w:type="dxa"/>
        </w:tblCellMar>
      </w:tblPr>
      <w:tblGrid>
        <w:gridCol w:w="3030"/>
        <w:gridCol w:w="3038"/>
        <w:gridCol w:w="3030"/>
      </w:tblGrid>
      <w:tr>
        <w:tblPrEx>
          <w:tblCellMar>
            <w:top w:w="0" w:type="dxa"/>
            <w:left w:w="0" w:type="dxa"/>
            <w:bottom w:w="0" w:type="dxa"/>
            <w:right w:w="0" w:type="dxa"/>
          </w:tblCellMar>
        </w:tblPrEx>
        <w:trPr>
          <w:trHeight w:val="285" w:hRule="atLeast"/>
        </w:trPr>
        <w:tc>
          <w:tcPr>
            <w:tcW w:w="3334"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相关尺寸</w:t>
            </w:r>
          </w:p>
        </w:tc>
        <w:tc>
          <w:tcPr>
            <w:tcW w:w="1665"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单位（m）</w:t>
            </w:r>
          </w:p>
        </w:tc>
      </w:tr>
      <w:tr>
        <w:tblPrEx>
          <w:tblCellMar>
            <w:top w:w="0" w:type="dxa"/>
            <w:left w:w="0" w:type="dxa"/>
            <w:bottom w:w="0" w:type="dxa"/>
            <w:right w:w="0" w:type="dxa"/>
          </w:tblCellMar>
        </w:tblPrEx>
        <w:trPr>
          <w:trHeight w:val="285" w:hRule="atLeast"/>
        </w:trPr>
        <w:tc>
          <w:tcPr>
            <w:tcW w:w="1665" w:type="pct"/>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房间</w:t>
            </w: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开间</w:t>
            </w:r>
          </w:p>
        </w:tc>
        <w:tc>
          <w:tcPr>
            <w:tcW w:w="303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ascii="宋体" w:hAnsi="宋体" w:cs="宋体"/>
                <w:color w:val="000000" w:themeColor="text1"/>
                <w:sz w:val="28"/>
                <w:szCs w:val="22"/>
                <w:highlight w:val="none"/>
                <w:lang w:val="en-US" w:bidi="ar"/>
                <w14:textFill>
                  <w14:solidFill>
                    <w14:schemeClr w14:val="tx1"/>
                  </w14:solidFill>
                </w14:textFill>
              </w:rPr>
              <w:t>9.9</w:t>
            </w:r>
          </w:p>
        </w:tc>
      </w:tr>
      <w:tr>
        <w:tblPrEx>
          <w:tblCellMar>
            <w:top w:w="0" w:type="dxa"/>
            <w:left w:w="0" w:type="dxa"/>
            <w:bottom w:w="0" w:type="dxa"/>
            <w:right w:w="0" w:type="dxa"/>
          </w:tblCellMar>
        </w:tblPrEx>
        <w:trPr>
          <w:trHeight w:val="285" w:hRule="atLeast"/>
        </w:trPr>
        <w:tc>
          <w:tcPr>
            <w:tcW w:w="1665" w:type="pct"/>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进深</w:t>
            </w:r>
          </w:p>
        </w:tc>
        <w:tc>
          <w:tcPr>
            <w:tcW w:w="303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ascii="宋体" w:hAnsi="宋体" w:cs="宋体"/>
                <w:color w:val="000000" w:themeColor="text1"/>
                <w:sz w:val="28"/>
                <w:szCs w:val="22"/>
                <w:highlight w:val="none"/>
                <w:lang w:val="en-US" w:bidi="ar"/>
                <w14:textFill>
                  <w14:solidFill>
                    <w14:schemeClr w14:val="tx1"/>
                  </w14:solidFill>
                </w14:textFill>
              </w:rPr>
              <w:t>9.0</w:t>
            </w:r>
          </w:p>
        </w:tc>
      </w:tr>
      <w:tr>
        <w:tblPrEx>
          <w:tblCellMar>
            <w:top w:w="0" w:type="dxa"/>
            <w:left w:w="0" w:type="dxa"/>
            <w:bottom w:w="0" w:type="dxa"/>
            <w:right w:w="0" w:type="dxa"/>
          </w:tblCellMar>
        </w:tblPrEx>
        <w:trPr>
          <w:trHeight w:val="285" w:hRule="atLeast"/>
        </w:trPr>
        <w:tc>
          <w:tcPr>
            <w:tcW w:w="1665" w:type="pct"/>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层高</w:t>
            </w:r>
          </w:p>
        </w:tc>
        <w:tc>
          <w:tcPr>
            <w:tcW w:w="303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hint="eastAsia" w:ascii="宋体" w:hAnsi="宋体" w:cs="宋体"/>
                <w:color w:val="000000" w:themeColor="text1"/>
                <w:sz w:val="28"/>
                <w:szCs w:val="22"/>
                <w:highlight w:val="none"/>
                <w:lang w:val="en-US" w:bidi="ar"/>
                <w14:textFill>
                  <w14:solidFill>
                    <w14:schemeClr w14:val="tx1"/>
                  </w14:solidFill>
                </w14:textFill>
              </w:rPr>
              <w:t>3.</w:t>
            </w:r>
            <w:r>
              <w:rPr>
                <w:rFonts w:ascii="宋体" w:hAnsi="宋体" w:cs="宋体"/>
                <w:color w:val="000000" w:themeColor="text1"/>
                <w:sz w:val="28"/>
                <w:szCs w:val="22"/>
                <w:highlight w:val="none"/>
                <w:lang w:val="en-US" w:bidi="ar"/>
                <w14:textFill>
                  <w14:solidFill>
                    <w14:schemeClr w14:val="tx1"/>
                  </w14:solidFill>
                </w14:textFill>
              </w:rPr>
              <w:t>8</w:t>
            </w:r>
          </w:p>
        </w:tc>
      </w:tr>
      <w:tr>
        <w:tblPrEx>
          <w:tblCellMar>
            <w:top w:w="0" w:type="dxa"/>
            <w:left w:w="0" w:type="dxa"/>
            <w:bottom w:w="0" w:type="dxa"/>
            <w:right w:w="0" w:type="dxa"/>
          </w:tblCellMar>
        </w:tblPrEx>
        <w:trPr>
          <w:trHeight w:val="285" w:hRule="atLeast"/>
        </w:trPr>
        <w:tc>
          <w:tcPr>
            <w:tcW w:w="1665" w:type="pct"/>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外窗</w:t>
            </w: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总宽</w:t>
            </w:r>
          </w:p>
        </w:tc>
        <w:tc>
          <w:tcPr>
            <w:tcW w:w="303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ascii="宋体" w:hAnsi="宋体" w:cs="宋体"/>
                <w:color w:val="000000" w:themeColor="text1"/>
                <w:sz w:val="28"/>
                <w:szCs w:val="22"/>
                <w:highlight w:val="none"/>
                <w:lang w:val="en-US" w:bidi="ar"/>
                <w14:textFill>
                  <w14:solidFill>
                    <w14:schemeClr w14:val="tx1"/>
                  </w14:solidFill>
                </w14:textFill>
              </w:rPr>
              <w:t>7.0</w:t>
            </w:r>
          </w:p>
        </w:tc>
      </w:tr>
      <w:tr>
        <w:tblPrEx>
          <w:tblCellMar>
            <w:top w:w="0" w:type="dxa"/>
            <w:left w:w="0" w:type="dxa"/>
            <w:bottom w:w="0" w:type="dxa"/>
            <w:right w:w="0" w:type="dxa"/>
          </w:tblCellMar>
        </w:tblPrEx>
        <w:trPr>
          <w:trHeight w:val="285" w:hRule="atLeast"/>
        </w:trPr>
        <w:tc>
          <w:tcPr>
            <w:tcW w:w="1665" w:type="pct"/>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总高</w:t>
            </w:r>
          </w:p>
        </w:tc>
        <w:tc>
          <w:tcPr>
            <w:tcW w:w="303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ascii="宋体" w:hAnsi="宋体" w:cs="宋体"/>
                <w:color w:val="000000" w:themeColor="text1"/>
                <w:sz w:val="28"/>
                <w:szCs w:val="22"/>
                <w:highlight w:val="none"/>
                <w:lang w:val="en-US" w:bidi="ar"/>
                <w14:textFill>
                  <w14:solidFill>
                    <w14:schemeClr w14:val="tx1"/>
                  </w14:solidFill>
                </w14:textFill>
              </w:rPr>
              <w:t>1.9</w:t>
            </w:r>
          </w:p>
        </w:tc>
      </w:tr>
      <w:tr>
        <w:tblPrEx>
          <w:tblCellMar>
            <w:top w:w="0" w:type="dxa"/>
            <w:left w:w="0" w:type="dxa"/>
            <w:bottom w:w="0" w:type="dxa"/>
            <w:right w:w="0" w:type="dxa"/>
          </w:tblCellMar>
        </w:tblPrEx>
        <w:trPr>
          <w:trHeight w:val="285" w:hRule="atLeast"/>
        </w:trPr>
        <w:tc>
          <w:tcPr>
            <w:tcW w:w="1665" w:type="pct"/>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1668" w:type="pc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center"/>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面积</w:t>
            </w:r>
          </w:p>
        </w:tc>
        <w:tc>
          <w:tcPr>
            <w:tcW w:w="303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ind w:firstLine="560" w:firstLineChars="200"/>
              <w:jc w:val="center"/>
              <w:textAlignment w:val="center"/>
              <w:rPr>
                <w:rFonts w:ascii="宋体" w:hAnsi="宋体" w:cs="宋体"/>
                <w:color w:val="000000" w:themeColor="text1"/>
                <w:sz w:val="28"/>
                <w:highlight w:val="none"/>
                <w:lang w:val="en-US"/>
                <w14:textFill>
                  <w14:solidFill>
                    <w14:schemeClr w14:val="tx1"/>
                  </w14:solidFill>
                </w14:textFill>
              </w:rPr>
            </w:pPr>
            <w:r>
              <w:rPr>
                <w:rFonts w:ascii="宋体" w:hAnsi="宋体" w:cs="宋体"/>
                <w:color w:val="000000" w:themeColor="text1"/>
                <w:sz w:val="28"/>
                <w:szCs w:val="22"/>
                <w:highlight w:val="none"/>
                <w:lang w:val="en-US" w:bidi="ar"/>
                <w14:textFill>
                  <w14:solidFill>
                    <w14:schemeClr w14:val="tx1"/>
                  </w14:solidFill>
                </w14:textFill>
              </w:rPr>
              <w:t>13.3</w:t>
            </w:r>
          </w:p>
        </w:tc>
      </w:tr>
    </w:tbl>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房间总吸声量 A 由下式确定：</w:t>
      </w:r>
    </w:p>
    <w:p>
      <w:pPr>
        <w:spacing w:line="360" w:lineRule="auto"/>
        <w:jc w:val="center"/>
        <w:rPr>
          <w:color w:val="000000" w:themeColor="text1"/>
          <w:sz w:val="28"/>
          <w:highlight w:val="none"/>
          <w14:textFill>
            <w14:solidFill>
              <w14:schemeClr w14:val="tx1"/>
            </w14:solidFill>
          </w14:textFill>
        </w:rPr>
      </w:pPr>
      <w:r>
        <w:rPr>
          <w:color w:val="000000" w:themeColor="text1"/>
          <w:position w:val="-16"/>
          <w:sz w:val="28"/>
          <w:highlight w:val="none"/>
          <w14:textFill>
            <w14:solidFill>
              <w14:schemeClr w14:val="tx1"/>
            </w14:solidFill>
          </w14:textFill>
        </w:rPr>
        <w:object>
          <v:shape id="_x0000_i1048" o:spt="75" type="#_x0000_t75" style="height:20.95pt;width:56.95pt;" o:ole="t" filled="f" o:preferrelative="t" stroked="f" coordsize="21600,21600">
            <v:path/>
            <v:fill on="f" focussize="0,0"/>
            <v:stroke on="f" joinstyle="miter"/>
            <v:imagedata r:id="rId58" o:title=""/>
            <o:lock v:ext="edit" aspectratio="t"/>
            <w10:wrap type="none"/>
            <w10:anchorlock/>
          </v:shape>
          <o:OLEObject Type="Embed" ProgID="Equation.3" ShapeID="_x0000_i1048" DrawAspect="Content" ObjectID="_1468075748" r:id="rId57">
            <o:LockedField>false</o:LockedField>
          </o:OLEObject>
        </w:object>
      </w:r>
    </w:p>
    <w:p>
      <w:pPr>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式中：</w:t>
      </w:r>
    </w:p>
    <w:p>
      <w:pPr>
        <w:spacing w:line="360" w:lineRule="auto"/>
        <w:ind w:firstLine="420"/>
        <w:rPr>
          <w:color w:val="000000" w:themeColor="text1"/>
          <w:sz w:val="28"/>
          <w:highlight w:val="none"/>
          <w14:textFill>
            <w14:solidFill>
              <w14:schemeClr w14:val="tx1"/>
            </w14:solidFill>
          </w14:textFill>
        </w:rPr>
      </w:pPr>
      <w:r>
        <w:rPr>
          <w:color w:val="000000" w:themeColor="text1"/>
          <w:position w:val="-4"/>
          <w:sz w:val="28"/>
          <w:highlight w:val="none"/>
          <w14:textFill>
            <w14:solidFill>
              <w14:schemeClr w14:val="tx1"/>
            </w14:solidFill>
          </w14:textFill>
        </w:rPr>
        <w:object>
          <v:shape id="_x0000_i1049" o:spt="75" type="#_x0000_t75" style="height:10.05pt;width:10.05pt;" o:ole="t" filled="f" o:preferrelative="t" stroked="f" coordsize="21600,21600">
            <v:path/>
            <v:fill on="f" focussize="0,0"/>
            <v:stroke on="f" joinstyle="miter"/>
            <v:imagedata r:id="rId60" o:title=""/>
            <o:lock v:ext="edit" aspectratio="t"/>
            <w10:wrap type="none"/>
            <w10:anchorlock/>
          </v:shape>
          <o:OLEObject Type="Embed" ProgID="Equation.3" ShapeID="_x0000_i1049" DrawAspect="Content" ObjectID="_1468075749" r:id="rId59">
            <o:LockedField>false</o:LockedField>
          </o:OLEObject>
        </w:object>
      </w:r>
      <w:r>
        <w:rPr>
          <w:rFonts w:hint="eastAsia"/>
          <w:color w:val="000000" w:themeColor="text1"/>
          <w:sz w:val="28"/>
          <w:highlight w:val="none"/>
          <w14:textFill>
            <w14:solidFill>
              <w14:schemeClr w14:val="tx1"/>
            </w14:solidFill>
          </w14:textFill>
        </w:rPr>
        <w:t>——房间总吸声量；</w:t>
      </w:r>
    </w:p>
    <w:p>
      <w:pPr>
        <w:spacing w:line="360" w:lineRule="auto"/>
        <w:ind w:firstLine="420"/>
        <w:rPr>
          <w:color w:val="000000" w:themeColor="text1"/>
          <w:sz w:val="28"/>
          <w:highlight w:val="none"/>
          <w14:textFill>
            <w14:solidFill>
              <w14:schemeClr w14:val="tx1"/>
            </w14:solidFill>
          </w14:textFill>
        </w:rPr>
      </w:pPr>
      <w:r>
        <w:rPr>
          <w:color w:val="000000" w:themeColor="text1"/>
          <w:position w:val="-14"/>
          <w:sz w:val="28"/>
          <w:highlight w:val="none"/>
          <w14:textFill>
            <w14:solidFill>
              <w14:schemeClr w14:val="tx1"/>
            </w14:solidFill>
          </w14:textFill>
        </w:rPr>
        <w:object>
          <v:shape id="_x0000_i1050" o:spt="75" type="#_x0000_t75" style="height:20.95pt;width:15.05pt;" o:ole="t" filled="f" o:preferrelative="t" stroked="f" coordsize="21600,21600">
            <v:path/>
            <v:fill on="f" focussize="0,0"/>
            <v:stroke on="f" joinstyle="miter"/>
            <v:imagedata r:id="rId62" o:title=""/>
            <o:lock v:ext="edit" aspectratio="t"/>
            <w10:wrap type="none"/>
            <w10:anchorlock/>
          </v:shape>
          <o:OLEObject Type="Embed" ProgID="Equation.3" ShapeID="_x0000_i1050" DrawAspect="Content" ObjectID="_1468075750" r:id="rId61">
            <o:LockedField>false</o:LockedField>
          </o:OLEObject>
        </w:object>
      </w:r>
      <w:r>
        <w:rPr>
          <w:rFonts w:hint="eastAsia"/>
          <w:color w:val="000000" w:themeColor="text1"/>
          <w:sz w:val="28"/>
          <w:highlight w:val="none"/>
          <w14:textFill>
            <w14:solidFill>
              <w14:schemeClr w14:val="tx1"/>
            </w14:solidFill>
          </w14:textFill>
        </w:rPr>
        <w:t>——材料的吸声系数，在不同声音频率下取值不同；</w:t>
      </w:r>
    </w:p>
    <w:p>
      <w:pPr>
        <w:spacing w:line="360" w:lineRule="auto"/>
        <w:ind w:firstLine="420"/>
        <w:rPr>
          <w:color w:val="000000" w:themeColor="text1"/>
          <w:sz w:val="28"/>
          <w:highlight w:val="none"/>
          <w14:textFill>
            <w14:solidFill>
              <w14:schemeClr w14:val="tx1"/>
            </w14:solidFill>
          </w14:textFill>
        </w:rPr>
      </w:pPr>
      <w:r>
        <w:rPr>
          <w:color w:val="000000" w:themeColor="text1"/>
          <w:position w:val="-14"/>
          <w:sz w:val="28"/>
          <w:highlight w:val="none"/>
          <w14:textFill>
            <w14:solidFill>
              <w14:schemeClr w14:val="tx1"/>
            </w14:solidFill>
          </w14:textFill>
        </w:rPr>
        <w:object>
          <v:shape id="_x0000_i1051" o:spt="75" type="#_x0000_t75" style="height:20.95pt;width:15.05pt;" o:ole="t" filled="f" o:preferrelative="t" stroked="f" coordsize="21600,21600">
            <v:path/>
            <v:fill on="f" focussize="0,0"/>
            <v:stroke on="f" joinstyle="miter"/>
            <v:imagedata r:id="rId64" o:title=""/>
            <o:lock v:ext="edit" aspectratio="t"/>
            <w10:wrap type="none"/>
            <w10:anchorlock/>
          </v:shape>
          <o:OLEObject Type="Embed" ProgID="Equation.3" ShapeID="_x0000_i1051" DrawAspect="Content" ObjectID="_1468075751" r:id="rId63">
            <o:LockedField>false</o:LockedField>
          </o:OLEObject>
        </w:object>
      </w:r>
      <w:r>
        <w:rPr>
          <w:rFonts w:hint="eastAsia"/>
          <w:color w:val="000000" w:themeColor="text1"/>
          <w:sz w:val="28"/>
          <w:highlight w:val="none"/>
          <w14:textFill>
            <w14:solidFill>
              <w14:schemeClr w14:val="tx1"/>
            </w14:solidFill>
          </w14:textFill>
        </w:rPr>
        <w:t>——围护结构的面积。</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11</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各类材料在各频率下的吸声系数</w:t>
      </w:r>
    </w:p>
    <w:tbl>
      <w:tblPr>
        <w:tblStyle w:val="25"/>
        <w:tblW w:w="4997" w:type="pct"/>
        <w:tblInd w:w="0" w:type="dxa"/>
        <w:tblLayout w:type="autofit"/>
        <w:tblCellMar>
          <w:top w:w="0" w:type="dxa"/>
          <w:left w:w="0" w:type="dxa"/>
          <w:bottom w:w="0" w:type="dxa"/>
          <w:right w:w="0" w:type="dxa"/>
        </w:tblCellMar>
      </w:tblPr>
      <w:tblGrid>
        <w:gridCol w:w="1208"/>
        <w:gridCol w:w="3262"/>
        <w:gridCol w:w="867"/>
        <w:gridCol w:w="867"/>
        <w:gridCol w:w="867"/>
        <w:gridCol w:w="1012"/>
        <w:gridCol w:w="1012"/>
      </w:tblGrid>
      <w:tr>
        <w:tblPrEx>
          <w:tblCellMar>
            <w:top w:w="0" w:type="dxa"/>
            <w:left w:w="0" w:type="dxa"/>
            <w:bottom w:w="0" w:type="dxa"/>
            <w:right w:w="0" w:type="dxa"/>
          </w:tblCellMar>
        </w:tblPrEx>
        <w:trPr>
          <w:trHeight w:val="23" w:hRule="atLeast"/>
        </w:trPr>
        <w:tc>
          <w:tcPr>
            <w:tcW w:w="664"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围护结构</w:t>
            </w:r>
          </w:p>
        </w:tc>
        <w:tc>
          <w:tcPr>
            <w:tcW w:w="1792"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材料</w:t>
            </w:r>
          </w:p>
        </w:tc>
        <w:tc>
          <w:tcPr>
            <w:tcW w:w="47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125HZ</w:t>
            </w:r>
          </w:p>
        </w:tc>
        <w:tc>
          <w:tcPr>
            <w:tcW w:w="47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250HZ</w:t>
            </w:r>
          </w:p>
        </w:tc>
        <w:tc>
          <w:tcPr>
            <w:tcW w:w="47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500HZ</w:t>
            </w:r>
          </w:p>
        </w:tc>
        <w:tc>
          <w:tcPr>
            <w:tcW w:w="5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1000HZ</w:t>
            </w:r>
          </w:p>
        </w:tc>
        <w:tc>
          <w:tcPr>
            <w:tcW w:w="5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2000HZ</w:t>
            </w:r>
          </w:p>
        </w:tc>
      </w:tr>
      <w:tr>
        <w:tblPrEx>
          <w:tblCellMar>
            <w:top w:w="0" w:type="dxa"/>
            <w:left w:w="0" w:type="dxa"/>
            <w:bottom w:w="0" w:type="dxa"/>
            <w:right w:w="0" w:type="dxa"/>
          </w:tblCellMar>
        </w:tblPrEx>
        <w:trPr>
          <w:trHeight w:val="23" w:hRule="atLeast"/>
        </w:trPr>
        <w:tc>
          <w:tcPr>
            <w:tcW w:w="6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内墙</w:t>
            </w:r>
          </w:p>
        </w:tc>
        <w:tc>
          <w:tcPr>
            <w:tcW w:w="17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砖墙（混凝土抹面）</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0.03</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0.03</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0.03</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0.04</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0.05</w:t>
            </w:r>
          </w:p>
        </w:tc>
      </w:tr>
      <w:tr>
        <w:tblPrEx>
          <w:tblCellMar>
            <w:top w:w="0" w:type="dxa"/>
            <w:left w:w="0" w:type="dxa"/>
            <w:bottom w:w="0" w:type="dxa"/>
            <w:right w:w="0" w:type="dxa"/>
          </w:tblCellMar>
        </w:tblPrEx>
        <w:trPr>
          <w:trHeight w:val="23" w:hRule="atLeast"/>
        </w:trPr>
        <w:tc>
          <w:tcPr>
            <w:tcW w:w="6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外窗</w:t>
            </w:r>
          </w:p>
        </w:tc>
        <w:tc>
          <w:tcPr>
            <w:tcW w:w="17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中空玻璃</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0.35</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0.25</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0.18</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0.12</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0.07</w:t>
            </w:r>
          </w:p>
        </w:tc>
      </w:tr>
      <w:tr>
        <w:tblPrEx>
          <w:tblCellMar>
            <w:top w:w="0" w:type="dxa"/>
            <w:left w:w="0" w:type="dxa"/>
            <w:bottom w:w="0" w:type="dxa"/>
            <w:right w:w="0" w:type="dxa"/>
          </w:tblCellMar>
        </w:tblPrEx>
        <w:trPr>
          <w:trHeight w:val="23" w:hRule="atLeast"/>
        </w:trPr>
        <w:tc>
          <w:tcPr>
            <w:tcW w:w="6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天花板</w:t>
            </w:r>
          </w:p>
        </w:tc>
        <w:tc>
          <w:tcPr>
            <w:tcW w:w="17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混凝土（水泥砂浆抹面）</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0.01</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0.01</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r>
      <w:tr>
        <w:tblPrEx>
          <w:tblCellMar>
            <w:top w:w="0" w:type="dxa"/>
            <w:left w:w="0" w:type="dxa"/>
            <w:bottom w:w="0" w:type="dxa"/>
            <w:right w:w="0" w:type="dxa"/>
          </w:tblCellMar>
        </w:tblPrEx>
        <w:trPr>
          <w:trHeight w:val="23" w:hRule="atLeast"/>
        </w:trPr>
        <w:tc>
          <w:tcPr>
            <w:tcW w:w="664"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地板</w:t>
            </w:r>
          </w:p>
        </w:tc>
        <w:tc>
          <w:tcPr>
            <w:tcW w:w="179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混凝土地面</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0.01</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0.01</w:t>
            </w:r>
          </w:p>
        </w:tc>
        <w:tc>
          <w:tcPr>
            <w:tcW w:w="47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c>
          <w:tcPr>
            <w:tcW w:w="5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0.02</w:t>
            </w:r>
          </w:p>
        </w:tc>
      </w:tr>
    </w:tbl>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 xml:space="preserve">   吸声系数和各围护结构面积代入计算，如表所示：</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12</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房间吸声量计算</w:t>
      </w:r>
    </w:p>
    <w:tbl>
      <w:tblPr>
        <w:tblStyle w:val="25"/>
        <w:tblW w:w="4997" w:type="pct"/>
        <w:jc w:val="center"/>
        <w:tblLayout w:type="autofit"/>
        <w:tblCellMar>
          <w:top w:w="0" w:type="dxa"/>
          <w:left w:w="0" w:type="dxa"/>
          <w:bottom w:w="0" w:type="dxa"/>
          <w:right w:w="0" w:type="dxa"/>
        </w:tblCellMar>
      </w:tblPr>
      <w:tblGrid>
        <w:gridCol w:w="1385"/>
        <w:gridCol w:w="2397"/>
        <w:gridCol w:w="995"/>
        <w:gridCol w:w="995"/>
        <w:gridCol w:w="995"/>
        <w:gridCol w:w="1164"/>
        <w:gridCol w:w="1164"/>
      </w:tblGrid>
      <w:tr>
        <w:tblPrEx>
          <w:tblCellMar>
            <w:top w:w="0" w:type="dxa"/>
            <w:left w:w="0" w:type="dxa"/>
            <w:bottom w:w="0" w:type="dxa"/>
            <w:right w:w="0" w:type="dxa"/>
          </w:tblCellMar>
        </w:tblPrEx>
        <w:trPr>
          <w:trHeight w:val="615" w:hRule="atLeast"/>
          <w:jc w:val="center"/>
        </w:trPr>
        <w:tc>
          <w:tcPr>
            <w:tcW w:w="138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围护结构</w:t>
            </w:r>
          </w:p>
        </w:tc>
        <w:tc>
          <w:tcPr>
            <w:tcW w:w="239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面积（单位㎡）</w:t>
            </w:r>
          </w:p>
        </w:tc>
        <w:tc>
          <w:tcPr>
            <w:tcW w:w="99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t>125HZ</w:t>
            </w:r>
          </w:p>
        </w:tc>
        <w:tc>
          <w:tcPr>
            <w:tcW w:w="99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t>250HZ</w:t>
            </w:r>
          </w:p>
        </w:tc>
        <w:tc>
          <w:tcPr>
            <w:tcW w:w="99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t>500HZ</w:t>
            </w:r>
          </w:p>
        </w:tc>
        <w:tc>
          <w:tcPr>
            <w:tcW w:w="116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t>1000HZ</w:t>
            </w:r>
          </w:p>
        </w:tc>
        <w:tc>
          <w:tcPr>
            <w:tcW w:w="116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color w:val="000000" w:themeColor="text1"/>
                <w:sz w:val="28"/>
                <w:szCs w:val="24"/>
                <w:highlight w:val="none"/>
                <w14:textFill>
                  <w14:solidFill>
                    <w14:schemeClr w14:val="tx1"/>
                  </w14:solidFill>
                </w14:textFill>
              </w:rPr>
            </w:pPr>
            <w:r>
              <w:rPr>
                <w:color w:val="000000" w:themeColor="text1"/>
                <w:sz w:val="28"/>
                <w:szCs w:val="24"/>
                <w:highlight w:val="none"/>
                <w:lang w:val="en-US"/>
                <w14:textFill>
                  <w14:solidFill>
                    <w14:schemeClr w14:val="tx1"/>
                  </w14:solidFill>
                </w14:textFill>
              </w:rPr>
              <w:t>2000HZ</w:t>
            </w:r>
          </w:p>
        </w:tc>
      </w:tr>
      <w:tr>
        <w:tblPrEx>
          <w:tblCellMar>
            <w:top w:w="0" w:type="dxa"/>
            <w:left w:w="0" w:type="dxa"/>
            <w:bottom w:w="0" w:type="dxa"/>
            <w:right w:w="0" w:type="dxa"/>
          </w:tblCellMar>
        </w:tblPrEx>
        <w:trPr>
          <w:trHeight w:val="330" w:hRule="atLeast"/>
          <w:jc w:val="center"/>
        </w:trPr>
        <w:tc>
          <w:tcPr>
            <w:tcW w:w="138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内墙</w:t>
            </w:r>
          </w:p>
        </w:tc>
        <w:tc>
          <w:tcPr>
            <w:tcW w:w="239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106.02</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3.18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3.18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3.18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4.24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5.30 </w:t>
            </w:r>
          </w:p>
        </w:tc>
      </w:tr>
      <w:tr>
        <w:tblPrEx>
          <w:tblCellMar>
            <w:top w:w="0" w:type="dxa"/>
            <w:left w:w="0" w:type="dxa"/>
            <w:bottom w:w="0" w:type="dxa"/>
            <w:right w:w="0" w:type="dxa"/>
          </w:tblCellMar>
        </w:tblPrEx>
        <w:trPr>
          <w:trHeight w:val="330" w:hRule="atLeast"/>
          <w:jc w:val="center"/>
        </w:trPr>
        <w:tc>
          <w:tcPr>
            <w:tcW w:w="138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外窗</w:t>
            </w:r>
          </w:p>
        </w:tc>
        <w:tc>
          <w:tcPr>
            <w:tcW w:w="239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13.3</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4.66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3.33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2.39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1.60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0.93 </w:t>
            </w:r>
          </w:p>
        </w:tc>
      </w:tr>
      <w:tr>
        <w:tblPrEx>
          <w:tblCellMar>
            <w:top w:w="0" w:type="dxa"/>
            <w:left w:w="0" w:type="dxa"/>
            <w:bottom w:w="0" w:type="dxa"/>
            <w:right w:w="0" w:type="dxa"/>
          </w:tblCellMar>
        </w:tblPrEx>
        <w:trPr>
          <w:trHeight w:val="330" w:hRule="atLeast"/>
          <w:jc w:val="center"/>
        </w:trPr>
        <w:tc>
          <w:tcPr>
            <w:tcW w:w="138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天花板</w:t>
            </w:r>
          </w:p>
        </w:tc>
        <w:tc>
          <w:tcPr>
            <w:tcW w:w="239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89.1</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0.89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0.89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r>
      <w:tr>
        <w:tblPrEx>
          <w:tblCellMar>
            <w:top w:w="0" w:type="dxa"/>
            <w:left w:w="0" w:type="dxa"/>
            <w:bottom w:w="0" w:type="dxa"/>
            <w:right w:w="0" w:type="dxa"/>
          </w:tblCellMar>
        </w:tblPrEx>
        <w:trPr>
          <w:trHeight w:val="330" w:hRule="atLeast"/>
          <w:jc w:val="center"/>
        </w:trPr>
        <w:tc>
          <w:tcPr>
            <w:tcW w:w="138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地板</w:t>
            </w:r>
          </w:p>
        </w:tc>
        <w:tc>
          <w:tcPr>
            <w:tcW w:w="239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89.1</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0.89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0.89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1.78 </w:t>
            </w:r>
          </w:p>
        </w:tc>
      </w:tr>
      <w:tr>
        <w:tblPrEx>
          <w:tblCellMar>
            <w:top w:w="0" w:type="dxa"/>
            <w:left w:w="0" w:type="dxa"/>
            <w:bottom w:w="0" w:type="dxa"/>
            <w:right w:w="0" w:type="dxa"/>
          </w:tblCellMar>
        </w:tblPrEx>
        <w:trPr>
          <w:trHeight w:val="330" w:hRule="atLeast"/>
          <w:jc w:val="center"/>
        </w:trPr>
        <w:tc>
          <w:tcPr>
            <w:tcW w:w="138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总计</w:t>
            </w:r>
          </w:p>
        </w:tc>
        <w:tc>
          <w:tcPr>
            <w:tcW w:w="239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9.62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8.29 </w:t>
            </w:r>
          </w:p>
        </w:tc>
        <w:tc>
          <w:tcPr>
            <w:tcW w:w="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9.14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9.40 </w:t>
            </w:r>
          </w:p>
        </w:tc>
        <w:tc>
          <w:tcPr>
            <w:tcW w:w="116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9.80 </w:t>
            </w:r>
          </w:p>
        </w:tc>
      </w:tr>
    </w:tbl>
    <w:p>
      <w:pPr>
        <w:pStyle w:val="6"/>
        <w:spacing w:line="360" w:lineRule="auto"/>
        <w:rPr>
          <w:color w:val="000000" w:themeColor="text1"/>
          <w:sz w:val="28"/>
          <w:highlight w:val="none"/>
          <w14:textFill>
            <w14:solidFill>
              <w14:schemeClr w14:val="tx1"/>
            </w14:solidFill>
          </w14:textFill>
        </w:rPr>
      </w:pPr>
      <w:bookmarkStart w:id="89" w:name="_Toc7899"/>
      <w:bookmarkStart w:id="90" w:name="_Toc1393"/>
      <w:r>
        <w:rPr>
          <w:rFonts w:hint="eastAsia"/>
          <w:color w:val="000000" w:themeColor="text1"/>
          <w:sz w:val="28"/>
          <w:highlight w:val="none"/>
          <w14:textFill>
            <w14:solidFill>
              <w14:schemeClr w14:val="tx1"/>
            </w14:solidFill>
          </w14:textFill>
        </w:rPr>
        <w:t>房间隔声计算</w:t>
      </w:r>
      <w:bookmarkEnd w:id="89"/>
      <w:bookmarkEnd w:id="90"/>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13</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外墙外窗不同频率的隔声量</w:t>
      </w:r>
    </w:p>
    <w:tbl>
      <w:tblPr>
        <w:tblStyle w:val="25"/>
        <w:tblW w:w="8070" w:type="dxa"/>
        <w:tblInd w:w="0" w:type="dxa"/>
        <w:tblLayout w:type="autofit"/>
        <w:tblCellMar>
          <w:top w:w="0" w:type="dxa"/>
          <w:left w:w="0" w:type="dxa"/>
          <w:bottom w:w="0" w:type="dxa"/>
          <w:right w:w="0" w:type="dxa"/>
        </w:tblCellMar>
      </w:tblPr>
      <w:tblGrid>
        <w:gridCol w:w="1155"/>
        <w:gridCol w:w="1155"/>
        <w:gridCol w:w="1155"/>
        <w:gridCol w:w="1155"/>
        <w:gridCol w:w="1155"/>
        <w:gridCol w:w="1155"/>
        <w:gridCol w:w="1140"/>
      </w:tblGrid>
      <w:tr>
        <w:tblPrEx>
          <w:tblCellMar>
            <w:top w:w="0" w:type="dxa"/>
            <w:left w:w="0" w:type="dxa"/>
            <w:bottom w:w="0" w:type="dxa"/>
            <w:right w:w="0" w:type="dxa"/>
          </w:tblCellMar>
        </w:tblPrEx>
        <w:trPr>
          <w:trHeight w:val="285" w:hRule="atLeast"/>
        </w:trPr>
        <w:tc>
          <w:tcPr>
            <w:tcW w:w="115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材料</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125 HZ</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250 HZ</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500 HZ</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1000 HZ</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2000 HZ</w:t>
            </w:r>
          </w:p>
        </w:tc>
        <w:tc>
          <w:tcPr>
            <w:tcW w:w="114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color w:val="000000" w:themeColor="text1"/>
                <w:sz w:val="28"/>
                <w:szCs w:val="21"/>
                <w:highlight w:val="none"/>
                <w14:textFill>
                  <w14:solidFill>
                    <w14:schemeClr w14:val="tx1"/>
                  </w14:solidFill>
                </w14:textFill>
              </w:rPr>
            </w:pPr>
            <w:r>
              <w:rPr>
                <w:color w:val="000000" w:themeColor="text1"/>
                <w:sz w:val="28"/>
                <w:szCs w:val="21"/>
                <w:highlight w:val="none"/>
                <w14:textFill>
                  <w14:solidFill>
                    <w14:schemeClr w14:val="tx1"/>
                  </w14:solidFill>
                </w14:textFill>
              </w:rPr>
              <w:t>Rw</w:t>
            </w:r>
          </w:p>
        </w:tc>
      </w:tr>
      <w:tr>
        <w:tblPrEx>
          <w:tblCellMar>
            <w:top w:w="0" w:type="dxa"/>
            <w:left w:w="0" w:type="dxa"/>
            <w:bottom w:w="0" w:type="dxa"/>
            <w:right w:w="0" w:type="dxa"/>
          </w:tblCellMar>
        </w:tblPrEx>
        <w:trPr>
          <w:trHeight w:val="500" w:hRule="atLeast"/>
        </w:trPr>
        <w:tc>
          <w:tcPr>
            <w:tcW w:w="115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外墙</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39.4 </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42.7 </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46.0 </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49.3 </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52.6 </w:t>
            </w:r>
          </w:p>
        </w:tc>
        <w:tc>
          <w:tcPr>
            <w:tcW w:w="114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 xml:space="preserve">48.3 </w:t>
            </w:r>
          </w:p>
        </w:tc>
      </w:tr>
      <w:tr>
        <w:tblPrEx>
          <w:tblCellMar>
            <w:top w:w="0" w:type="dxa"/>
            <w:left w:w="0" w:type="dxa"/>
            <w:bottom w:w="0" w:type="dxa"/>
            <w:right w:w="0" w:type="dxa"/>
          </w:tblCellMar>
        </w:tblPrEx>
        <w:trPr>
          <w:trHeight w:val="330" w:hRule="atLeast"/>
        </w:trPr>
        <w:tc>
          <w:tcPr>
            <w:tcW w:w="115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360" w:lineRule="auto"/>
              <w:jc w:val="center"/>
              <w:textAlignment w:val="bottom"/>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外窗</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27.3</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19.8</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30.3</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35.1</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35.2</w:t>
            </w:r>
          </w:p>
        </w:tc>
        <w:tc>
          <w:tcPr>
            <w:tcW w:w="114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jc w:val="center"/>
              <w:textAlignment w:val="bottom"/>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t>32</w:t>
            </w:r>
          </w:p>
        </w:tc>
      </w:tr>
    </w:tbl>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 xml:space="preserve">    各部分的透声系数按照下式计算：</w:t>
      </w:r>
    </w:p>
    <w:p>
      <w:pPr>
        <w:spacing w:line="360" w:lineRule="auto"/>
        <w:jc w:val="center"/>
        <w:rPr>
          <w:color w:val="000000" w:themeColor="text1"/>
          <w:sz w:val="28"/>
          <w:highlight w:val="none"/>
          <w14:textFill>
            <w14:solidFill>
              <w14:schemeClr w14:val="tx1"/>
            </w14:solidFill>
          </w14:textFill>
        </w:rPr>
      </w:pPr>
      <w:r>
        <w:rPr>
          <w:rFonts w:hint="eastAsia"/>
          <w:color w:val="000000" w:themeColor="text1"/>
          <w:position w:val="-14"/>
          <w:sz w:val="28"/>
          <w:highlight w:val="none"/>
          <w14:textFill>
            <w14:solidFill>
              <w14:schemeClr w14:val="tx1"/>
            </w14:solidFill>
          </w14:textFill>
        </w:rPr>
        <w:object>
          <v:shape id="_x0000_i1052" o:spt="75" type="#_x0000_t75" style="height:21.5pt;width:57.05pt;" o:ole="t" filled="f" o:preferrelative="t" stroked="f" coordsize="21600,21600">
            <v:path/>
            <v:fill on="f" focussize="0,0"/>
            <v:stroke on="f" joinstyle="miter"/>
            <v:imagedata r:id="rId66" o:title=""/>
            <o:lock v:ext="edit" aspectratio="t"/>
            <w10:wrap type="none"/>
            <w10:anchorlock/>
          </v:shape>
          <o:OLEObject Type="Embed" ProgID="Equation.3" ShapeID="_x0000_i1052" DrawAspect="Content" ObjectID="_1468075752" r:id="rId65">
            <o:LockedField>false</o:LockedField>
          </o:OLEObject>
        </w:object>
      </w:r>
    </w:p>
    <w:p>
      <w:pPr>
        <w:spacing w:line="360" w:lineRule="auto"/>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式中：</w:t>
      </w:r>
    </w:p>
    <w:p>
      <w:pPr>
        <w:spacing w:line="360" w:lineRule="auto"/>
        <w:ind w:firstLine="420"/>
        <w:rPr>
          <w:color w:val="000000" w:themeColor="text1"/>
          <w:sz w:val="28"/>
          <w:highlight w:val="none"/>
          <w14:textFill>
            <w14:solidFill>
              <w14:schemeClr w14:val="tx1"/>
            </w14:solidFill>
          </w14:textFill>
        </w:rPr>
      </w:pPr>
      <w:r>
        <w:rPr>
          <w:rFonts w:hint="eastAsia"/>
          <w:color w:val="000000" w:themeColor="text1"/>
          <w:position w:val="-6"/>
          <w:sz w:val="28"/>
          <w:highlight w:val="none"/>
          <w14:textFill>
            <w14:solidFill>
              <w14:schemeClr w14:val="tx1"/>
            </w14:solidFill>
          </w14:textFill>
        </w:rPr>
        <w:object>
          <v:shape id="_x0000_i1053" o:spt="75" type="#_x0000_t75" style="height:10.3pt;width:10.3pt;" o:ole="t" filled="f" o:preferrelative="t" stroked="f" coordsize="21600,21600">
            <v:path/>
            <v:fill on="f" focussize="0,0"/>
            <v:stroke on="f" joinstyle="miter"/>
            <v:imagedata r:id="rId68" o:title=""/>
            <o:lock v:ext="edit" aspectratio="t"/>
            <w10:wrap type="none"/>
            <w10:anchorlock/>
          </v:shape>
          <o:OLEObject Type="Embed" ProgID="Equation.3" ShapeID="_x0000_i1053" DrawAspect="Content" ObjectID="_1468075753" r:id="rId67">
            <o:LockedField>false</o:LockedField>
          </o:OLEObject>
        </w:object>
      </w:r>
      <w:r>
        <w:rPr>
          <w:rFonts w:hint="eastAsia"/>
          <w:color w:val="000000" w:themeColor="text1"/>
          <w:sz w:val="28"/>
          <w:highlight w:val="none"/>
          <w14:textFill>
            <w14:solidFill>
              <w14:schemeClr w14:val="tx1"/>
            </w14:solidFill>
          </w14:textFill>
        </w:rPr>
        <w:t>——透声系数；</w:t>
      </w:r>
    </w:p>
    <w:p>
      <w:pPr>
        <w:spacing w:line="360" w:lineRule="auto"/>
        <w:ind w:firstLine="42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TL——构件隔声量。</w:t>
      </w:r>
    </w:p>
    <w:p>
      <w:pPr>
        <w:spacing w:line="360" w:lineRule="auto"/>
        <w:ind w:firstLine="420"/>
        <w:rPr>
          <w:color w:val="000000" w:themeColor="text1"/>
          <w:sz w:val="28"/>
          <w:highlight w:val="none"/>
          <w14:textFill>
            <w14:solidFill>
              <w14:schemeClr w14:val="tx1"/>
            </w14:solidFill>
          </w14:textFill>
        </w:rPr>
      </w:pPr>
      <w:r>
        <w:rPr>
          <w:rFonts w:hint="eastAsia"/>
          <w:color w:val="000000" w:themeColor="text1"/>
          <w:sz w:val="28"/>
          <w:highlight w:val="none"/>
          <w14:textFill>
            <w14:solidFill>
              <w14:schemeClr w14:val="tx1"/>
            </w14:solidFill>
          </w14:textFill>
        </w:rPr>
        <w:t>则组合墙体平均透声系数为：</w:t>
      </w:r>
    </w:p>
    <w:p>
      <w:pPr>
        <w:spacing w:line="360" w:lineRule="auto"/>
        <w:ind w:firstLine="420"/>
        <w:jc w:val="center"/>
        <w:rPr>
          <w:color w:val="000000" w:themeColor="text1"/>
          <w:sz w:val="28"/>
          <w:highlight w:val="none"/>
          <w14:textFill>
            <w14:solidFill>
              <w14:schemeClr w14:val="tx1"/>
            </w14:solidFill>
          </w14:textFill>
        </w:rPr>
      </w:pPr>
      <w:r>
        <w:rPr>
          <w:color w:val="000000" w:themeColor="text1"/>
          <w:position w:val="-24"/>
          <w:sz w:val="28"/>
          <w:highlight w:val="none"/>
          <w14:textFill>
            <w14:solidFill>
              <w14:schemeClr w14:val="tx1"/>
            </w14:solidFill>
          </w14:textFill>
        </w:rPr>
        <w:object>
          <v:shape id="_x0000_i1054" o:spt="75" type="#_x0000_t75" style="height:30.85pt;width:86.95pt;" o:ole="t" filled="f" o:preferrelative="t" stroked="f" coordsize="21600,21600">
            <v:path/>
            <v:fill on="f" focussize="0,0"/>
            <v:stroke on="f" joinstyle="miter"/>
            <v:imagedata r:id="rId70" o:title=""/>
            <o:lock v:ext="edit" aspectratio="t"/>
            <w10:wrap type="none"/>
            <w10:anchorlock/>
          </v:shape>
          <o:OLEObject Type="Embed" ProgID="Equation.3" ShapeID="_x0000_i1054" DrawAspect="Content" ObjectID="_1468075754" r:id="rId69">
            <o:LockedField>false</o:LockedField>
          </o:OLEObject>
        </w:objec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在计算出墙体平均隔声量之后需要对其进行修正。根据《建筑声学设计》计</w: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算房间的窗和墙组合后的实际有效隔声量。计算公式如下：</w:t>
      </w:r>
    </w:p>
    <w:p>
      <w:pPr>
        <w:spacing w:line="360" w:lineRule="auto"/>
        <w:ind w:firstLine="420"/>
        <w:jc w:val="center"/>
        <w:rPr>
          <w:color w:val="000000" w:themeColor="text1"/>
          <w:sz w:val="28"/>
          <w:highlight w:val="none"/>
          <w14:textFill>
            <w14:solidFill>
              <w14:schemeClr w14:val="tx1"/>
            </w14:solidFill>
          </w14:textFill>
        </w:rPr>
      </w:pPr>
      <w:r>
        <w:rPr>
          <w:color w:val="000000" w:themeColor="text1"/>
          <w:position w:val="-34"/>
          <w:sz w:val="28"/>
          <w:highlight w:val="none"/>
          <w14:textFill>
            <w14:solidFill>
              <w14:schemeClr w14:val="tx1"/>
            </w14:solidFill>
          </w14:textFill>
        </w:rPr>
        <w:object>
          <v:shape id="_x0000_i1055" o:spt="75" type="#_x0000_t75" style="height:36.45pt;width:154.3pt;" o:ole="t" filled="f" o:preferrelative="t" stroked="f" coordsize="21600,21600">
            <v:path/>
            <v:fill on="f" focussize="0,0"/>
            <v:stroke on="f" joinstyle="miter"/>
            <v:imagedata r:id="rId72" o:title=""/>
            <o:lock v:ext="edit" aspectratio="t"/>
            <w10:wrap type="none"/>
            <w10:anchorlock/>
          </v:shape>
          <o:OLEObject Type="Embed" ProgID="Equation.3" ShapeID="_x0000_i1055" DrawAspect="Content" ObjectID="_1468075755" r:id="rId71">
            <o:LockedField>false</o:LockedField>
          </o:OLEObject>
        </w:object>
      </w:r>
    </w:p>
    <w:p>
      <w:pPr>
        <w:spacing w:line="360" w:lineRule="auto"/>
        <w:rPr>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按照上述公式，对窗墙组合不同频率下的隔声量计算结果如下表：</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14</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窗墙组合不同频率下隔声量（dB）</w:t>
      </w:r>
    </w:p>
    <w:tbl>
      <w:tblPr>
        <w:tblStyle w:val="25"/>
        <w:tblW w:w="4998" w:type="pct"/>
        <w:tblInd w:w="0" w:type="dxa"/>
        <w:tblLayout w:type="autofit"/>
        <w:tblCellMar>
          <w:top w:w="0" w:type="dxa"/>
          <w:left w:w="0" w:type="dxa"/>
          <w:bottom w:w="0" w:type="dxa"/>
          <w:right w:w="0" w:type="dxa"/>
        </w:tblCellMar>
      </w:tblPr>
      <w:tblGrid>
        <w:gridCol w:w="3192"/>
        <w:gridCol w:w="1112"/>
        <w:gridCol w:w="1112"/>
        <w:gridCol w:w="1112"/>
        <w:gridCol w:w="1284"/>
        <w:gridCol w:w="1284"/>
      </w:tblGrid>
      <w:tr>
        <w:tblPrEx>
          <w:tblCellMar>
            <w:top w:w="0" w:type="dxa"/>
            <w:left w:w="0" w:type="dxa"/>
            <w:bottom w:w="0" w:type="dxa"/>
            <w:right w:w="0" w:type="dxa"/>
          </w:tblCellMar>
        </w:tblPrEx>
        <w:trPr>
          <w:trHeight w:val="330" w:hRule="atLeast"/>
        </w:trPr>
        <w:tc>
          <w:tcPr>
            <w:tcW w:w="1755" w:type="pct"/>
            <w:tcBorders>
              <w:top w:val="single" w:color="000000" w:sz="8" w:space="0"/>
              <w:left w:val="single" w:color="000000" w:sz="8" w:space="0"/>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隔声量</w:t>
            </w:r>
          </w:p>
        </w:tc>
        <w:tc>
          <w:tcPr>
            <w:tcW w:w="611"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125 HZ</w:t>
            </w:r>
          </w:p>
        </w:tc>
        <w:tc>
          <w:tcPr>
            <w:tcW w:w="611"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250 HZ</w:t>
            </w:r>
          </w:p>
        </w:tc>
        <w:tc>
          <w:tcPr>
            <w:tcW w:w="611"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500 HZ</w:t>
            </w:r>
          </w:p>
        </w:tc>
        <w:tc>
          <w:tcPr>
            <w:tcW w:w="706"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1000 HZ</w:t>
            </w:r>
          </w:p>
        </w:tc>
        <w:tc>
          <w:tcPr>
            <w:tcW w:w="706" w:type="pct"/>
            <w:tcBorders>
              <w:top w:val="single" w:color="000000" w:sz="8" w:space="0"/>
              <w:left w:val="nil"/>
              <w:bottom w:val="single" w:color="000000" w:sz="8" w:space="0"/>
              <w:right w:val="single" w:color="000000" w:sz="8" w:space="0"/>
            </w:tcBorders>
            <w:shd w:val="clear" w:color="auto" w:fill="BFBFBF"/>
            <w:tcMar>
              <w:top w:w="15" w:type="dxa"/>
              <w:left w:w="15" w:type="dxa"/>
              <w:right w:w="15" w:type="dxa"/>
            </w:tcMar>
            <w:vAlign w:val="center"/>
          </w:tcPr>
          <w:p>
            <w:pPr>
              <w:spacing w:line="360" w:lineRule="auto"/>
              <w:jc w:val="center"/>
              <w:textAlignment w:val="center"/>
              <w:rPr>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2000 HZ</w:t>
            </w:r>
          </w:p>
        </w:tc>
      </w:tr>
      <w:tr>
        <w:tblPrEx>
          <w:tblCellMar>
            <w:top w:w="0" w:type="dxa"/>
            <w:left w:w="0" w:type="dxa"/>
            <w:bottom w:w="0" w:type="dxa"/>
            <w:right w:w="0" w:type="dxa"/>
          </w:tblCellMar>
        </w:tblPrEx>
        <w:trPr>
          <w:trHeight w:val="975" w:hRule="atLeast"/>
        </w:trPr>
        <w:tc>
          <w:tcPr>
            <w:tcW w:w="1755"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房间吸声量</w:t>
            </w:r>
            <w:r>
              <w:rPr>
                <w:rStyle w:val="64"/>
                <w:color w:val="000000" w:themeColor="text1"/>
                <w:sz w:val="28"/>
                <w:highlight w:val="none"/>
                <w14:textFill>
                  <w14:solidFill>
                    <w14:schemeClr w14:val="tx1"/>
                  </w14:solidFill>
                </w14:textFill>
              </w:rPr>
              <w:t>A</w:t>
            </w:r>
            <w:r>
              <w:rPr>
                <w:rFonts w:hint="eastAsia" w:ascii="宋体" w:hAnsi="宋体" w:cs="宋体"/>
                <w:color w:val="000000" w:themeColor="text1"/>
                <w:sz w:val="28"/>
                <w:szCs w:val="24"/>
                <w:highlight w:val="none"/>
                <w14:textFill>
                  <w14:solidFill>
                    <w14:schemeClr w14:val="tx1"/>
                  </w14:solidFill>
                </w14:textFill>
              </w:rPr>
              <w:t>（</w:t>
            </w:r>
            <w:r>
              <w:rPr>
                <w:rStyle w:val="64"/>
                <w:color w:val="000000" w:themeColor="text1"/>
                <w:sz w:val="28"/>
                <w:highlight w:val="none"/>
                <w14:textFill>
                  <w14:solidFill>
                    <w14:schemeClr w14:val="tx1"/>
                  </w14:solidFill>
                </w14:textFill>
              </w:rPr>
              <w:t>m</w:t>
            </w:r>
            <w:r>
              <w:rPr>
                <w:color w:val="000000" w:themeColor="text1"/>
                <w:sz w:val="28"/>
                <w:szCs w:val="24"/>
                <w:highlight w:val="none"/>
                <w:vertAlign w:val="superscript"/>
                <w14:textFill>
                  <w14:solidFill>
                    <w14:schemeClr w14:val="tx1"/>
                  </w14:solidFill>
                </w14:textFill>
              </w:rPr>
              <w:t>2</w:t>
            </w:r>
            <w:r>
              <w:rPr>
                <w:rFonts w:hint="eastAsia" w:ascii="宋体" w:hAnsi="宋体" w:cs="宋体"/>
                <w:color w:val="000000" w:themeColor="text1"/>
                <w:sz w:val="28"/>
                <w:szCs w:val="24"/>
                <w:highlight w:val="none"/>
                <w14:textFill>
                  <w14:solidFill>
                    <w14:schemeClr w14:val="tx1"/>
                  </w14:solidFill>
                </w14:textFill>
              </w:rPr>
              <w:t>）</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9.62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8.29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9.14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9.40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9.80 </w:t>
            </w:r>
          </w:p>
        </w:tc>
      </w:tr>
      <w:tr>
        <w:tblPrEx>
          <w:tblCellMar>
            <w:top w:w="0" w:type="dxa"/>
            <w:left w:w="0" w:type="dxa"/>
            <w:bottom w:w="0" w:type="dxa"/>
            <w:right w:w="0" w:type="dxa"/>
          </w:tblCellMar>
        </w:tblPrEx>
        <w:trPr>
          <w:trHeight w:val="615" w:hRule="atLeast"/>
        </w:trPr>
        <w:tc>
          <w:tcPr>
            <w:tcW w:w="1755"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外墙隔声量（</w:t>
            </w:r>
            <w:r>
              <w:rPr>
                <w:rStyle w:val="64"/>
                <w:color w:val="000000" w:themeColor="text1"/>
                <w:sz w:val="28"/>
                <w:highlight w:val="none"/>
                <w14:textFill>
                  <w14:solidFill>
                    <w14:schemeClr w14:val="tx1"/>
                  </w14:solidFill>
                </w14:textFill>
              </w:rPr>
              <w:t>dB</w:t>
            </w:r>
            <w:r>
              <w:rPr>
                <w:rFonts w:hint="eastAsia" w:ascii="宋体" w:hAnsi="宋体" w:cs="宋体"/>
                <w:color w:val="000000" w:themeColor="text1"/>
                <w:sz w:val="28"/>
                <w:szCs w:val="24"/>
                <w:highlight w:val="none"/>
                <w14:textFill>
                  <w14:solidFill>
                    <w14:schemeClr w14:val="tx1"/>
                  </w14:solidFill>
                </w14:textFill>
              </w:rPr>
              <w:t>）</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39.37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42.68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45.99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49.30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52.61 </w:t>
            </w:r>
          </w:p>
        </w:tc>
      </w:tr>
      <w:tr>
        <w:tblPrEx>
          <w:tblCellMar>
            <w:top w:w="0" w:type="dxa"/>
            <w:left w:w="0" w:type="dxa"/>
            <w:bottom w:w="0" w:type="dxa"/>
            <w:right w:w="0" w:type="dxa"/>
          </w:tblCellMar>
        </w:tblPrEx>
        <w:trPr>
          <w:trHeight w:val="615" w:hRule="atLeast"/>
        </w:trPr>
        <w:tc>
          <w:tcPr>
            <w:tcW w:w="1755"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外窗隔声量（</w:t>
            </w:r>
            <w:r>
              <w:rPr>
                <w:rStyle w:val="64"/>
                <w:color w:val="000000" w:themeColor="text1"/>
                <w:sz w:val="28"/>
                <w:highlight w:val="none"/>
                <w14:textFill>
                  <w14:solidFill>
                    <w14:schemeClr w14:val="tx1"/>
                  </w14:solidFill>
                </w14:textFill>
              </w:rPr>
              <w:t>dB</w:t>
            </w:r>
            <w:r>
              <w:rPr>
                <w:rFonts w:hint="eastAsia" w:ascii="宋体" w:hAnsi="宋体" w:cs="宋体"/>
                <w:color w:val="000000" w:themeColor="text1"/>
                <w:sz w:val="28"/>
                <w:szCs w:val="24"/>
                <w:highlight w:val="none"/>
                <w14:textFill>
                  <w14:solidFill>
                    <w14:schemeClr w14:val="tx1"/>
                  </w14:solidFill>
                </w14:textFill>
              </w:rPr>
              <w:t>）</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26.90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22.40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31.40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35.80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38.40 </w:t>
            </w:r>
          </w:p>
        </w:tc>
      </w:tr>
      <w:tr>
        <w:tblPrEx>
          <w:tblCellMar>
            <w:top w:w="0" w:type="dxa"/>
            <w:left w:w="0" w:type="dxa"/>
            <w:bottom w:w="0" w:type="dxa"/>
            <w:right w:w="0" w:type="dxa"/>
          </w:tblCellMar>
        </w:tblPrEx>
        <w:trPr>
          <w:trHeight w:val="615" w:hRule="atLeast"/>
        </w:trPr>
        <w:tc>
          <w:tcPr>
            <w:tcW w:w="1755"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组合隔声量（</w:t>
            </w:r>
            <w:r>
              <w:rPr>
                <w:rStyle w:val="64"/>
                <w:color w:val="000000" w:themeColor="text1"/>
                <w:sz w:val="28"/>
                <w:highlight w:val="none"/>
                <w14:textFill>
                  <w14:solidFill>
                    <w14:schemeClr w14:val="tx1"/>
                  </w14:solidFill>
                </w14:textFill>
              </w:rPr>
              <w:t>dB</w:t>
            </w:r>
            <w:r>
              <w:rPr>
                <w:rFonts w:hint="eastAsia" w:ascii="宋体" w:hAnsi="宋体" w:cs="宋体"/>
                <w:color w:val="000000" w:themeColor="text1"/>
                <w:sz w:val="28"/>
                <w:szCs w:val="24"/>
                <w:highlight w:val="none"/>
                <w14:textFill>
                  <w14:solidFill>
                    <w14:schemeClr w14:val="tx1"/>
                  </w14:solidFill>
                </w14:textFill>
              </w:rPr>
              <w:t>）</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30.99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26.84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35.65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39.97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42.62 </w:t>
            </w:r>
          </w:p>
        </w:tc>
      </w:tr>
      <w:tr>
        <w:tblPrEx>
          <w:tblCellMar>
            <w:top w:w="0" w:type="dxa"/>
            <w:left w:w="0" w:type="dxa"/>
            <w:bottom w:w="0" w:type="dxa"/>
            <w:right w:w="0" w:type="dxa"/>
          </w:tblCellMar>
        </w:tblPrEx>
        <w:trPr>
          <w:trHeight w:val="615" w:hRule="atLeast"/>
        </w:trPr>
        <w:tc>
          <w:tcPr>
            <w:tcW w:w="1755"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有效隔声量（</w:t>
            </w:r>
            <w:r>
              <w:rPr>
                <w:rStyle w:val="64"/>
                <w:color w:val="000000" w:themeColor="text1"/>
                <w:sz w:val="28"/>
                <w:highlight w:val="none"/>
                <w14:textFill>
                  <w14:solidFill>
                    <w14:schemeClr w14:val="tx1"/>
                  </w14:solidFill>
                </w14:textFill>
              </w:rPr>
              <w:t>dB</w:t>
            </w:r>
            <w:r>
              <w:rPr>
                <w:rFonts w:hint="eastAsia" w:ascii="宋体" w:hAnsi="宋体" w:cs="宋体"/>
                <w:color w:val="000000" w:themeColor="text1"/>
                <w:sz w:val="28"/>
                <w:szCs w:val="24"/>
                <w:highlight w:val="none"/>
                <w14:textFill>
                  <w14:solidFill>
                    <w14:schemeClr w14:val="tx1"/>
                  </w14:solidFill>
                </w14:textFill>
              </w:rPr>
              <w:t>）</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25.06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20.27 </w:t>
            </w:r>
          </w:p>
        </w:tc>
        <w:tc>
          <w:tcPr>
            <w:tcW w:w="611"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29.50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33.95 </w:t>
            </w:r>
          </w:p>
        </w:tc>
        <w:tc>
          <w:tcPr>
            <w:tcW w:w="706" w:type="pct"/>
            <w:tcBorders>
              <w:top w:val="nil"/>
              <w:left w:val="nil"/>
              <w:bottom w:val="single" w:color="000000" w:sz="8" w:space="0"/>
              <w:right w:val="single" w:color="000000" w:sz="8" w:space="0"/>
            </w:tcBorders>
            <w:shd w:val="clear" w:color="auto" w:fill="auto"/>
            <w:tcMar>
              <w:top w:w="15" w:type="dxa"/>
              <w:left w:w="15" w:type="dxa"/>
              <w:right w:w="15" w:type="dxa"/>
            </w:tcMar>
          </w:tcPr>
          <w:p>
            <w:pPr>
              <w:jc w:val="center"/>
              <w:textAlignment w:val="center"/>
              <w:rPr>
                <w:color w:val="000000" w:themeColor="text1"/>
                <w:sz w:val="28"/>
                <w:szCs w:val="24"/>
                <w:highlight w:val="none"/>
                <w14:textFill>
                  <w14:solidFill>
                    <w14:schemeClr w14:val="tx1"/>
                  </w14:solidFill>
                </w14:textFill>
              </w:rPr>
            </w:pPr>
            <w:r>
              <w:rPr>
                <w:color w:val="000000" w:themeColor="text1"/>
                <w:sz w:val="28"/>
                <w:highlight w:val="none"/>
                <w14:textFill>
                  <w14:solidFill>
                    <w14:schemeClr w14:val="tx1"/>
                  </w14:solidFill>
                </w14:textFill>
              </w:rPr>
              <w:t xml:space="preserve">36.78 </w:t>
            </w:r>
          </w:p>
        </w:tc>
      </w:tr>
    </w:tbl>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 xml:space="preserve">    根据计算窗墙组合有效隔声量数据，可知最小隔声量为在 250 Hz 处的隔声</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量</w:t>
      </w:r>
      <w:r>
        <w:rPr>
          <w:rFonts w:ascii="宋体" w:hAnsi="宋体" w:cs="宋体"/>
          <w:color w:val="000000" w:themeColor="text1"/>
          <w:sz w:val="28"/>
          <w:szCs w:val="24"/>
          <w:highlight w:val="none"/>
          <w:lang w:val="en-US"/>
          <w14:textFill>
            <w14:solidFill>
              <w14:schemeClr w14:val="tx1"/>
            </w14:solidFill>
          </w14:textFill>
        </w:rPr>
        <w:t>20.27</w:t>
      </w:r>
      <w:r>
        <w:rPr>
          <w:rFonts w:hint="eastAsia" w:ascii="宋体" w:hAnsi="宋体" w:cs="宋体"/>
          <w:color w:val="000000" w:themeColor="text1"/>
          <w:sz w:val="28"/>
          <w:szCs w:val="24"/>
          <w:highlight w:val="none"/>
          <w14:textFill>
            <w14:solidFill>
              <w14:schemeClr w14:val="tx1"/>
            </w14:solidFill>
          </w14:textFill>
        </w:rPr>
        <w:t xml:space="preserve"> dB。</w:t>
      </w:r>
    </w:p>
    <w:p>
      <w:pPr>
        <w:pStyle w:val="6"/>
        <w:spacing w:line="360" w:lineRule="auto"/>
        <w:rPr>
          <w:color w:val="000000" w:themeColor="text1"/>
          <w:sz w:val="28"/>
          <w:szCs w:val="24"/>
          <w:highlight w:val="none"/>
          <w14:textFill>
            <w14:solidFill>
              <w14:schemeClr w14:val="tx1"/>
            </w14:solidFill>
          </w14:textFill>
        </w:rPr>
      </w:pPr>
      <w:bookmarkStart w:id="91" w:name="_Toc27077"/>
      <w:bookmarkStart w:id="92" w:name="_Toc28623"/>
      <w:r>
        <w:rPr>
          <w:rFonts w:hint="eastAsia"/>
          <w:color w:val="000000" w:themeColor="text1"/>
          <w:sz w:val="28"/>
          <w:szCs w:val="24"/>
          <w:highlight w:val="none"/>
          <w14:textFill>
            <w14:solidFill>
              <w14:schemeClr w14:val="tx1"/>
            </w14:solidFill>
          </w14:textFill>
        </w:rPr>
        <w:t>交通背景噪声计算</w:t>
      </w:r>
      <w:bookmarkEnd w:id="91"/>
      <w:bookmarkEnd w:id="92"/>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针对上述计算结果，根据环境噪声值，经过围护结构隔声和考虑室内吸声量</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后，即用环境噪声值分别减去窗墙组合的计权隔声量，则室内背景噪声为：</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15</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室内交通背景噪声计算值</w:t>
      </w:r>
    </w:p>
    <w:tbl>
      <w:tblPr>
        <w:tblStyle w:val="25"/>
        <w:tblW w:w="4998" w:type="pct"/>
        <w:tblInd w:w="0" w:type="dxa"/>
        <w:tblLayout w:type="autofit"/>
        <w:tblCellMar>
          <w:top w:w="0" w:type="dxa"/>
          <w:left w:w="0" w:type="dxa"/>
          <w:bottom w:w="0" w:type="dxa"/>
          <w:right w:w="0" w:type="dxa"/>
        </w:tblCellMar>
      </w:tblPr>
      <w:tblGrid>
        <w:gridCol w:w="843"/>
        <w:gridCol w:w="1505"/>
        <w:gridCol w:w="1505"/>
        <w:gridCol w:w="1869"/>
        <w:gridCol w:w="1869"/>
        <w:gridCol w:w="1505"/>
      </w:tblGrid>
      <w:tr>
        <w:tblPrEx>
          <w:tblCellMar>
            <w:top w:w="0" w:type="dxa"/>
            <w:left w:w="0" w:type="dxa"/>
            <w:bottom w:w="0" w:type="dxa"/>
            <w:right w:w="0" w:type="dxa"/>
          </w:tblCellMar>
        </w:tblPrEx>
        <w:trPr>
          <w:trHeight w:val="555" w:hRule="atLeast"/>
        </w:trPr>
        <w:tc>
          <w:tcPr>
            <w:tcW w:w="463"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827"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交通噪声</w:t>
            </w:r>
          </w:p>
        </w:tc>
        <w:tc>
          <w:tcPr>
            <w:tcW w:w="827" w:type="pct"/>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背景噪声</w:t>
            </w:r>
          </w:p>
        </w:tc>
        <w:tc>
          <w:tcPr>
            <w:tcW w:w="1027"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高要求标准</w:t>
            </w:r>
          </w:p>
        </w:tc>
        <w:tc>
          <w:tcPr>
            <w:tcW w:w="1027"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低限值标准</w:t>
            </w:r>
          </w:p>
        </w:tc>
        <w:tc>
          <w:tcPr>
            <w:tcW w:w="827"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平均标准</w:t>
            </w:r>
          </w:p>
        </w:tc>
      </w:tr>
      <w:tr>
        <w:tblPrEx>
          <w:tblCellMar>
            <w:top w:w="0" w:type="dxa"/>
            <w:left w:w="0" w:type="dxa"/>
            <w:bottom w:w="0" w:type="dxa"/>
            <w:right w:w="0" w:type="dxa"/>
          </w:tblCellMar>
        </w:tblPrEx>
        <w:trPr>
          <w:trHeight w:val="300" w:hRule="atLeast"/>
        </w:trPr>
        <w:tc>
          <w:tcPr>
            <w:tcW w:w="463"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昼间</w:t>
            </w:r>
          </w:p>
        </w:tc>
        <w:tc>
          <w:tcPr>
            <w:tcW w:w="82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lang w:val="en-US"/>
                <w14:textFill>
                  <w14:solidFill>
                    <w14:schemeClr w14:val="tx1"/>
                  </w14:solidFill>
                </w14:textFill>
              </w:rPr>
            </w:pPr>
            <w:r>
              <w:rPr>
                <w:rFonts w:ascii="宋体" w:hAnsi="宋体" w:cs="宋体"/>
                <w:color w:val="000000" w:themeColor="text1"/>
                <w:sz w:val="28"/>
                <w:szCs w:val="24"/>
                <w:highlight w:val="none"/>
                <w:lang w:val="en-US"/>
                <w14:textFill>
                  <w14:solidFill>
                    <w14:schemeClr w14:val="tx1"/>
                  </w14:solidFill>
                </w14:textFill>
              </w:rPr>
              <w:t>51</w:t>
            </w:r>
          </w:p>
        </w:tc>
        <w:tc>
          <w:tcPr>
            <w:tcW w:w="82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lang w:val="en-US"/>
                <w14:textFill>
                  <w14:solidFill>
                    <w14:schemeClr w14:val="tx1"/>
                  </w14:solidFill>
                </w14:textFill>
              </w:rPr>
            </w:pPr>
            <w:r>
              <w:rPr>
                <w:rFonts w:ascii="宋体" w:hAnsi="宋体" w:cs="宋体"/>
                <w:color w:val="000000" w:themeColor="text1"/>
                <w:sz w:val="28"/>
                <w:szCs w:val="24"/>
                <w:highlight w:val="none"/>
                <w:lang w:val="en-US"/>
                <w14:textFill>
                  <w14:solidFill>
                    <w14:schemeClr w14:val="tx1"/>
                  </w14:solidFill>
                </w14:textFill>
              </w:rPr>
              <w:t xml:space="preserve">30.73 </w:t>
            </w:r>
          </w:p>
        </w:tc>
        <w:tc>
          <w:tcPr>
            <w:tcW w:w="10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≤40</w:t>
            </w:r>
          </w:p>
        </w:tc>
        <w:tc>
          <w:tcPr>
            <w:tcW w:w="10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≤45</w:t>
            </w:r>
          </w:p>
        </w:tc>
        <w:tc>
          <w:tcPr>
            <w:tcW w:w="8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≤42.5</w:t>
            </w:r>
          </w:p>
        </w:tc>
      </w:tr>
      <w:tr>
        <w:tblPrEx>
          <w:tblCellMar>
            <w:top w:w="0" w:type="dxa"/>
            <w:left w:w="0" w:type="dxa"/>
            <w:bottom w:w="0" w:type="dxa"/>
            <w:right w:w="0" w:type="dxa"/>
          </w:tblCellMar>
        </w:tblPrEx>
        <w:trPr>
          <w:trHeight w:val="300" w:hRule="atLeast"/>
        </w:trPr>
        <w:tc>
          <w:tcPr>
            <w:tcW w:w="463" w:type="pc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夜间</w:t>
            </w:r>
          </w:p>
        </w:tc>
        <w:tc>
          <w:tcPr>
            <w:tcW w:w="82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lang w:val="en-US"/>
                <w14:textFill>
                  <w14:solidFill>
                    <w14:schemeClr w14:val="tx1"/>
                  </w14:solidFill>
                </w14:textFill>
              </w:rPr>
            </w:pPr>
            <w:r>
              <w:rPr>
                <w:rFonts w:ascii="宋体" w:hAnsi="宋体" w:cs="宋体"/>
                <w:color w:val="000000" w:themeColor="text1"/>
                <w:sz w:val="28"/>
                <w:szCs w:val="24"/>
                <w:highlight w:val="none"/>
                <w:lang w:val="en-US"/>
                <w14:textFill>
                  <w14:solidFill>
                    <w14:schemeClr w14:val="tx1"/>
                  </w14:solidFill>
                </w14:textFill>
              </w:rPr>
              <w:t>44</w:t>
            </w:r>
          </w:p>
        </w:tc>
        <w:tc>
          <w:tcPr>
            <w:tcW w:w="827" w:type="pct"/>
            <w:tcBorders>
              <w:top w:val="nil"/>
              <w:left w:val="nil"/>
              <w:bottom w:val="single" w:color="000000" w:sz="8" w:space="0"/>
              <w:right w:val="single" w:color="000000" w:sz="8" w:space="0"/>
            </w:tcBorders>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lang w:val="en-US"/>
                <w14:textFill>
                  <w14:solidFill>
                    <w14:schemeClr w14:val="tx1"/>
                  </w14:solidFill>
                </w14:textFill>
              </w:rPr>
            </w:pPr>
            <w:r>
              <w:rPr>
                <w:rFonts w:ascii="宋体" w:hAnsi="宋体" w:cs="宋体"/>
                <w:color w:val="000000" w:themeColor="text1"/>
                <w:sz w:val="28"/>
                <w:szCs w:val="24"/>
                <w:highlight w:val="none"/>
                <w:lang w:val="en-US"/>
                <w14:textFill>
                  <w14:solidFill>
                    <w14:schemeClr w14:val="tx1"/>
                  </w14:solidFill>
                </w14:textFill>
              </w:rPr>
              <w:t xml:space="preserve">23.73 </w:t>
            </w:r>
          </w:p>
        </w:tc>
        <w:tc>
          <w:tcPr>
            <w:tcW w:w="10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≤40</w:t>
            </w:r>
          </w:p>
        </w:tc>
        <w:tc>
          <w:tcPr>
            <w:tcW w:w="10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≤45</w:t>
            </w:r>
          </w:p>
        </w:tc>
        <w:tc>
          <w:tcPr>
            <w:tcW w:w="827" w:type="pct"/>
            <w:tcBorders>
              <w:top w:val="nil"/>
              <w:left w:val="nil"/>
              <w:bottom w:val="single" w:color="000000" w:sz="8" w:space="0"/>
              <w:right w:val="single" w:color="000000" w:sz="8" w:space="0"/>
            </w:tcBorders>
            <w:shd w:val="clear" w:color="auto" w:fill="auto"/>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lang w:val="en-US"/>
                <w14:textFill>
                  <w14:solidFill>
                    <w14:schemeClr w14:val="tx1"/>
                  </w14:solidFill>
                </w14:textFill>
              </w:rPr>
              <w:t>≤42.5</w:t>
            </w:r>
          </w:p>
        </w:tc>
      </w:tr>
    </w:tbl>
    <w:p>
      <w:pPr>
        <w:pStyle w:val="6"/>
        <w:spacing w:line="360" w:lineRule="auto"/>
        <w:rPr>
          <w:color w:val="000000" w:themeColor="text1"/>
          <w:sz w:val="28"/>
          <w:highlight w:val="none"/>
          <w14:textFill>
            <w14:solidFill>
              <w14:schemeClr w14:val="tx1"/>
            </w14:solidFill>
          </w14:textFill>
        </w:rPr>
      </w:pPr>
      <w:bookmarkStart w:id="93" w:name="_Toc8534"/>
      <w:bookmarkStart w:id="94" w:name="_Toc3098"/>
      <w:r>
        <w:rPr>
          <w:rFonts w:hint="eastAsia"/>
          <w:color w:val="000000" w:themeColor="text1"/>
          <w:sz w:val="28"/>
          <w:highlight w:val="none"/>
          <w14:textFill>
            <w14:solidFill>
              <w14:schemeClr w14:val="tx1"/>
            </w14:solidFill>
          </w14:textFill>
        </w:rPr>
        <w:t>叠加空调背景噪声</w:t>
      </w:r>
      <w:bookmarkEnd w:id="93"/>
      <w:bookmarkEnd w:id="94"/>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对于</w:t>
      </w:r>
      <w:r>
        <w:rPr>
          <w:rFonts w:hint="eastAsia" w:ascii="宋体" w:hAnsi="宋体" w:cs="宋体"/>
          <w:color w:val="000000" w:themeColor="text1"/>
          <w:sz w:val="28"/>
          <w:szCs w:val="24"/>
          <w:highlight w:val="none"/>
          <w:lang w:val="en-US"/>
          <w14:textFill>
            <w14:solidFill>
              <w14:schemeClr w14:val="tx1"/>
            </w14:solidFill>
          </w14:textFill>
        </w:rPr>
        <w:t>该</w:t>
      </w:r>
      <w:r>
        <w:rPr>
          <w:rFonts w:hint="eastAsia" w:ascii="宋体" w:hAnsi="宋体" w:cs="宋体"/>
          <w:color w:val="000000" w:themeColor="text1"/>
          <w:sz w:val="28"/>
          <w:szCs w:val="24"/>
          <w:highlight w:val="none"/>
          <w14:textFill>
            <w14:solidFill>
              <w14:schemeClr w14:val="tx1"/>
            </w14:solidFill>
          </w14:textFill>
        </w:rPr>
        <w:t>建筑而言，除了室外的交通噪声以外，室内的设备噪声和人员噪声也是建筑内的噪声的主要来源，一般而言，室内外空调机设备噪声约30.0dB。</w:t>
      </w:r>
    </w:p>
    <w:p>
      <w:pPr>
        <w:spacing w:line="360" w:lineRule="auto"/>
        <w:ind w:firstLine="560" w:firstLineChars="20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本计算书拟采用独立声源叠加的方法对建筑内噪声进行计算，两个独立生源作用于某一点，产生的叠加噪声总声压级 Lp 为：</w:t>
      </w:r>
    </w:p>
    <w:p>
      <w:pPr>
        <w:spacing w:line="360" w:lineRule="auto"/>
        <w:jc w:val="center"/>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position w:val="-36"/>
          <w:sz w:val="28"/>
          <w:szCs w:val="24"/>
          <w:highlight w:val="none"/>
          <w14:textFill>
            <w14:solidFill>
              <w14:schemeClr w14:val="tx1"/>
            </w14:solidFill>
          </w14:textFill>
        </w:rPr>
        <w:object>
          <v:shape id="_x0000_i1056" o:spt="75" type="#_x0000_t75" style="height:41.15pt;width:98.2pt;" o:ole="t" filled="f" o:preferrelative="t" stroked="f" coordsize="21600,21600">
            <v:path/>
            <v:fill on="f" focussize="0,0"/>
            <v:stroke on="f" joinstyle="miter"/>
            <v:imagedata r:id="rId74" o:title=""/>
            <o:lock v:ext="edit" aspectratio="t"/>
            <w10:wrap type="none"/>
            <w10:anchorlock/>
          </v:shape>
          <o:OLEObject Type="Embed" ProgID="Equation.3" ShapeID="_x0000_i1056" DrawAspect="Content" ObjectID="_1468075756" r:id="rId73">
            <o:LockedField>false</o:LockedField>
          </o:OLEObject>
        </w:object>
      </w:r>
    </w:p>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式中：</w:t>
      </w:r>
    </w:p>
    <w:p>
      <w:pPr>
        <w:spacing w:line="360" w:lineRule="auto"/>
        <w:ind w:firstLine="42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P</w:t>
      </w:r>
      <w:r>
        <w:rPr>
          <w:rFonts w:hint="eastAsia" w:ascii="宋体" w:hAnsi="宋体" w:cs="宋体"/>
          <w:color w:val="000000" w:themeColor="text1"/>
          <w:sz w:val="28"/>
          <w:szCs w:val="24"/>
          <w:highlight w:val="none"/>
          <w:vertAlign w:val="subscript"/>
          <w14:textFill>
            <w14:solidFill>
              <w14:schemeClr w14:val="tx1"/>
            </w14:solidFill>
          </w14:textFill>
        </w:rPr>
        <w:t>1</w:t>
      </w:r>
      <w:r>
        <w:rPr>
          <w:rFonts w:hint="eastAsia" w:ascii="宋体" w:hAnsi="宋体" w:cs="宋体"/>
          <w:color w:val="000000" w:themeColor="text1"/>
          <w:sz w:val="28"/>
          <w:szCs w:val="24"/>
          <w:highlight w:val="none"/>
          <w14:textFill>
            <w14:solidFill>
              <w14:schemeClr w14:val="tx1"/>
            </w14:solidFill>
          </w14:textFill>
        </w:rPr>
        <w:t>——考察点1的声压；</w:t>
      </w:r>
    </w:p>
    <w:p>
      <w:pPr>
        <w:spacing w:line="360" w:lineRule="auto"/>
        <w:ind w:firstLine="42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P</w:t>
      </w:r>
      <w:r>
        <w:rPr>
          <w:rFonts w:hint="eastAsia" w:ascii="宋体" w:hAnsi="宋体" w:cs="宋体"/>
          <w:color w:val="000000" w:themeColor="text1"/>
          <w:sz w:val="28"/>
          <w:szCs w:val="24"/>
          <w:highlight w:val="none"/>
          <w:vertAlign w:val="subscript"/>
          <w14:textFill>
            <w14:solidFill>
              <w14:schemeClr w14:val="tx1"/>
            </w14:solidFill>
          </w14:textFill>
        </w:rPr>
        <w:t>2</w:t>
      </w:r>
      <w:r>
        <w:rPr>
          <w:rFonts w:hint="eastAsia" w:ascii="宋体" w:hAnsi="宋体" w:cs="宋体"/>
          <w:color w:val="000000" w:themeColor="text1"/>
          <w:sz w:val="28"/>
          <w:szCs w:val="24"/>
          <w:highlight w:val="none"/>
          <w14:textFill>
            <w14:solidFill>
              <w14:schemeClr w14:val="tx1"/>
            </w14:solidFill>
          </w14:textFill>
        </w:rPr>
        <w:t>——考察点2的声压；</w:t>
      </w:r>
    </w:p>
    <w:p>
      <w:pPr>
        <w:spacing w:line="360" w:lineRule="auto"/>
        <w:ind w:firstLine="42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P</w:t>
      </w:r>
      <w:r>
        <w:rPr>
          <w:rFonts w:hint="eastAsia" w:ascii="宋体" w:hAnsi="宋体" w:cs="宋体"/>
          <w:color w:val="000000" w:themeColor="text1"/>
          <w:sz w:val="28"/>
          <w:szCs w:val="24"/>
          <w:highlight w:val="none"/>
          <w:vertAlign w:val="subscript"/>
          <w14:textFill>
            <w14:solidFill>
              <w14:schemeClr w14:val="tx1"/>
            </w14:solidFill>
          </w14:textFill>
        </w:rPr>
        <w:t>0</w:t>
      </w:r>
      <w:r>
        <w:rPr>
          <w:rFonts w:hint="eastAsia" w:ascii="宋体" w:hAnsi="宋体" w:cs="宋体"/>
          <w:color w:val="000000" w:themeColor="text1"/>
          <w:sz w:val="28"/>
          <w:szCs w:val="24"/>
          <w:highlight w:val="none"/>
          <w14:textFill>
            <w14:solidFill>
              <w14:schemeClr w14:val="tx1"/>
            </w14:solidFill>
          </w14:textFill>
        </w:rPr>
        <w:t>——基准声压；</w:t>
      </w:r>
    </w:p>
    <w:p>
      <w:pPr>
        <w:spacing w:line="360" w:lineRule="auto"/>
        <w:ind w:firstLine="42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L</w:t>
      </w:r>
      <w:r>
        <w:rPr>
          <w:rFonts w:hint="eastAsia" w:ascii="宋体" w:hAnsi="宋体" w:cs="宋体"/>
          <w:color w:val="000000" w:themeColor="text1"/>
          <w:sz w:val="28"/>
          <w:szCs w:val="24"/>
          <w:highlight w:val="none"/>
          <w:vertAlign w:val="subscript"/>
          <w14:textFill>
            <w14:solidFill>
              <w14:schemeClr w14:val="tx1"/>
            </w14:solidFill>
          </w14:textFill>
        </w:rPr>
        <w:t>P1</w:t>
      </w:r>
      <w:r>
        <w:rPr>
          <w:rFonts w:hint="eastAsia" w:ascii="宋体" w:hAnsi="宋体" w:cs="宋体"/>
          <w:color w:val="000000" w:themeColor="text1"/>
          <w:sz w:val="28"/>
          <w:szCs w:val="24"/>
          <w:highlight w:val="none"/>
          <w14:textFill>
            <w14:solidFill>
              <w14:schemeClr w14:val="tx1"/>
            </w14:solidFill>
          </w14:textFill>
        </w:rPr>
        <w:t>——考察点1的声压级；</w:t>
      </w:r>
    </w:p>
    <w:p>
      <w:pPr>
        <w:spacing w:line="360" w:lineRule="auto"/>
        <w:ind w:firstLine="420"/>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L</w:t>
      </w:r>
      <w:r>
        <w:rPr>
          <w:rFonts w:hint="eastAsia" w:ascii="宋体" w:hAnsi="宋体" w:cs="宋体"/>
          <w:color w:val="000000" w:themeColor="text1"/>
          <w:sz w:val="28"/>
          <w:szCs w:val="24"/>
          <w:highlight w:val="none"/>
          <w:vertAlign w:val="subscript"/>
          <w14:textFill>
            <w14:solidFill>
              <w14:schemeClr w14:val="tx1"/>
            </w14:solidFill>
          </w14:textFill>
        </w:rPr>
        <w:t>P2</w:t>
      </w:r>
      <w:r>
        <w:rPr>
          <w:rFonts w:hint="eastAsia" w:ascii="宋体" w:hAnsi="宋体" w:cs="宋体"/>
          <w:color w:val="000000" w:themeColor="text1"/>
          <w:sz w:val="28"/>
          <w:szCs w:val="24"/>
          <w:highlight w:val="none"/>
          <w14:textFill>
            <w14:solidFill>
              <w14:schemeClr w14:val="tx1"/>
            </w14:solidFill>
          </w14:textFill>
        </w:rPr>
        <w:t>——考察点2的声压级。</w:t>
      </w:r>
    </w:p>
    <w:p>
      <w:pPr>
        <w:spacing w:line="360" w:lineRule="auto"/>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经计算：</w:t>
      </w:r>
    </w:p>
    <w:p>
      <w:pPr>
        <w:pStyle w:val="13"/>
        <w:spacing w:line="360" w:lineRule="auto"/>
        <w:jc w:val="center"/>
        <w:rPr>
          <w:rFonts w:eastAsia="宋体"/>
          <w:color w:val="000000" w:themeColor="text1"/>
          <w:sz w:val="28"/>
          <w:highlight w:val="none"/>
          <w14:textFill>
            <w14:solidFill>
              <w14:schemeClr w14:val="tx1"/>
            </w14:solidFill>
          </w14:textFill>
        </w:rPr>
      </w:pPr>
      <w:r>
        <w:rPr>
          <w:rFonts w:eastAsia="宋体"/>
          <w:color w:val="000000" w:themeColor="text1"/>
          <w:sz w:val="28"/>
          <w:highlight w:val="none"/>
          <w14:textFill>
            <w14:solidFill>
              <w14:schemeClr w14:val="tx1"/>
            </w14:solidFill>
          </w14:textFill>
        </w:rPr>
        <w:t>表</w:t>
      </w:r>
      <w:r>
        <w:rPr>
          <w:rFonts w:eastAsia="宋体"/>
          <w:color w:val="000000" w:themeColor="text1"/>
          <w:sz w:val="28"/>
          <w:highlight w:val="none"/>
          <w14:textFill>
            <w14:solidFill>
              <w14:schemeClr w14:val="tx1"/>
            </w14:solidFill>
          </w14:textFill>
        </w:rPr>
        <w:fldChar w:fldCharType="begin"/>
      </w:r>
      <w:r>
        <w:rPr>
          <w:rFonts w:eastAsia="宋体"/>
          <w:color w:val="000000" w:themeColor="text1"/>
          <w:sz w:val="28"/>
          <w:highlight w:val="none"/>
          <w14:textFill>
            <w14:solidFill>
              <w14:schemeClr w14:val="tx1"/>
            </w14:solidFill>
          </w14:textFill>
        </w:rPr>
        <w:instrText xml:space="preserve"> SEQ 表 \* ARABIC </w:instrText>
      </w:r>
      <w:r>
        <w:rPr>
          <w:rFonts w:eastAsia="宋体"/>
          <w:color w:val="000000" w:themeColor="text1"/>
          <w:sz w:val="28"/>
          <w:highlight w:val="none"/>
          <w14:textFill>
            <w14:solidFill>
              <w14:schemeClr w14:val="tx1"/>
            </w14:solidFill>
          </w14:textFill>
        </w:rPr>
        <w:fldChar w:fldCharType="separate"/>
      </w:r>
      <w:r>
        <w:rPr>
          <w:rFonts w:eastAsia="宋体"/>
          <w:color w:val="000000" w:themeColor="text1"/>
          <w:sz w:val="28"/>
          <w:highlight w:val="none"/>
          <w14:textFill>
            <w14:solidFill>
              <w14:schemeClr w14:val="tx1"/>
            </w14:solidFill>
          </w14:textFill>
        </w:rPr>
        <w:t>16</w:t>
      </w:r>
      <w:r>
        <w:rPr>
          <w:rFonts w:eastAsia="宋体"/>
          <w:color w:val="000000" w:themeColor="text1"/>
          <w:sz w:val="28"/>
          <w:highlight w:val="none"/>
          <w14:textFill>
            <w14:solidFill>
              <w14:schemeClr w14:val="tx1"/>
            </w14:solidFill>
          </w14:textFill>
        </w:rPr>
        <w:fldChar w:fldCharType="end"/>
      </w:r>
      <w:r>
        <w:rPr>
          <w:rFonts w:hint="eastAsia" w:eastAsia="宋体"/>
          <w:color w:val="000000" w:themeColor="text1"/>
          <w:sz w:val="28"/>
          <w:highlight w:val="none"/>
          <w14:textFill>
            <w14:solidFill>
              <w14:schemeClr w14:val="tx1"/>
            </w14:solidFill>
          </w14:textFill>
        </w:rPr>
        <w:t xml:space="preserve">  室内背景噪声计算</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1104"/>
        <w:gridCol w:w="1641"/>
        <w:gridCol w:w="1104"/>
        <w:gridCol w:w="1641"/>
        <w:gridCol w:w="1085"/>
        <w:gridCol w:w="1085"/>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0" w:type="auto"/>
            <w:shd w:val="clear" w:color="auto" w:fill="auto"/>
            <w:noWrap/>
            <w:tcMar>
              <w:top w:w="15" w:type="dxa"/>
              <w:left w:w="15" w:type="dxa"/>
              <w:right w:w="15" w:type="dxa"/>
            </w:tcMar>
            <w:vAlign w:val="center"/>
          </w:tcPr>
          <w:p>
            <w:pPr>
              <w:spacing w:line="360" w:lineRule="auto"/>
              <w:jc w:val="center"/>
              <w:rPr>
                <w:rFonts w:ascii="宋体" w:hAnsi="宋体" w:cs="宋体"/>
                <w:color w:val="000000" w:themeColor="text1"/>
                <w:sz w:val="28"/>
                <w:highlight w:val="none"/>
                <w14:textFill>
                  <w14:solidFill>
                    <w14:schemeClr w14:val="tx1"/>
                  </w14:solidFill>
                </w14:textFill>
              </w:rPr>
            </w:pPr>
          </w:p>
        </w:tc>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交通噪声</w:t>
            </w:r>
          </w:p>
        </w:tc>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交通背景噪声</w:t>
            </w:r>
          </w:p>
        </w:tc>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设备噪声</w:t>
            </w:r>
          </w:p>
        </w:tc>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室内背景噪声</w:t>
            </w:r>
          </w:p>
        </w:tc>
        <w:tc>
          <w:tcPr>
            <w:tcW w:w="0" w:type="auto"/>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高要求标准</w:t>
            </w:r>
          </w:p>
        </w:tc>
        <w:tc>
          <w:tcPr>
            <w:tcW w:w="0" w:type="auto"/>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低限值标准</w:t>
            </w:r>
          </w:p>
        </w:tc>
        <w:tc>
          <w:tcPr>
            <w:tcW w:w="0" w:type="auto"/>
            <w:shd w:val="clear" w:color="auto" w:fill="auto"/>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highlight w:val="none"/>
                <w14:textFill>
                  <w14:solidFill>
                    <w14:schemeClr w14:val="tx1"/>
                  </w14:solidFill>
                </w14:textFill>
              </w:rPr>
              <w:t>平均标准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昼间</w:t>
            </w:r>
          </w:p>
        </w:tc>
        <w:tc>
          <w:tcPr>
            <w:tcW w:w="91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51.00 </w:t>
            </w:r>
          </w:p>
        </w:tc>
        <w:tc>
          <w:tcPr>
            <w:tcW w:w="135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30.73 </w:t>
            </w:r>
          </w:p>
        </w:tc>
        <w:tc>
          <w:tcPr>
            <w:tcW w:w="91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30.00 </w:t>
            </w:r>
          </w:p>
        </w:tc>
        <w:tc>
          <w:tcPr>
            <w:tcW w:w="135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33.39 </w:t>
            </w:r>
          </w:p>
        </w:tc>
        <w:tc>
          <w:tcPr>
            <w:tcW w:w="0" w:type="auto"/>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lang w:val="en-US"/>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w:t>
            </w:r>
            <w:r>
              <w:rPr>
                <w:rFonts w:hint="eastAsia" w:ascii="宋体" w:hAnsi="宋体" w:cs="宋体"/>
                <w:color w:val="000000" w:themeColor="text1"/>
                <w:sz w:val="28"/>
                <w:szCs w:val="24"/>
                <w:highlight w:val="none"/>
                <w:lang w:val="en-US"/>
                <w14:textFill>
                  <w14:solidFill>
                    <w14:schemeClr w14:val="tx1"/>
                  </w14:solidFill>
                </w14:textFill>
              </w:rPr>
              <w:t>40</w:t>
            </w:r>
          </w:p>
        </w:tc>
        <w:tc>
          <w:tcPr>
            <w:tcW w:w="0" w:type="auto"/>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≤45</w:t>
            </w:r>
          </w:p>
        </w:tc>
        <w:tc>
          <w:tcPr>
            <w:tcW w:w="0" w:type="auto"/>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center"/>
          </w:tcPr>
          <w:p>
            <w:pPr>
              <w:spacing w:line="360" w:lineRule="auto"/>
              <w:jc w:val="center"/>
              <w:textAlignment w:val="bottom"/>
              <w:rPr>
                <w:rFonts w:ascii="宋体" w:hAnsi="宋体" w:cs="宋体"/>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夜间</w:t>
            </w:r>
          </w:p>
        </w:tc>
        <w:tc>
          <w:tcPr>
            <w:tcW w:w="91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44.00 </w:t>
            </w:r>
          </w:p>
        </w:tc>
        <w:tc>
          <w:tcPr>
            <w:tcW w:w="135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23.73 </w:t>
            </w:r>
          </w:p>
        </w:tc>
        <w:tc>
          <w:tcPr>
            <w:tcW w:w="91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30.00 </w:t>
            </w:r>
          </w:p>
        </w:tc>
        <w:tc>
          <w:tcPr>
            <w:tcW w:w="1350" w:type="dxa"/>
            <w:shd w:val="clear" w:color="auto" w:fill="auto"/>
            <w:noWrap/>
            <w:tcMar>
              <w:top w:w="15" w:type="dxa"/>
              <w:left w:w="15" w:type="dxa"/>
              <w:right w:w="15" w:type="dxa"/>
            </w:tcMar>
          </w:tcPr>
          <w:p>
            <w:pPr>
              <w:spacing w:line="360" w:lineRule="auto"/>
              <w:jc w:val="center"/>
              <w:textAlignment w:val="top"/>
              <w:rPr>
                <w:rFonts w:ascii="宋体" w:hAnsi="宋体" w:cs="宋体"/>
                <w:color w:val="000000" w:themeColor="text1"/>
                <w:sz w:val="28"/>
                <w:szCs w:val="24"/>
                <w:highlight w:val="none"/>
                <w14:textFill>
                  <w14:solidFill>
                    <w14:schemeClr w14:val="tx1"/>
                  </w14:solidFill>
                </w14:textFill>
              </w:rPr>
            </w:pPr>
            <w:r>
              <w:rPr>
                <w:rFonts w:ascii="宋体" w:hAnsi="宋体" w:cs="宋体"/>
                <w:color w:val="000000" w:themeColor="text1"/>
                <w:sz w:val="28"/>
                <w:szCs w:val="24"/>
                <w:highlight w:val="none"/>
                <w14:textFill>
                  <w14:solidFill>
                    <w14:schemeClr w14:val="tx1"/>
                  </w14:solidFill>
                </w14:textFill>
              </w:rPr>
              <w:t xml:space="preserve">30.92 </w:t>
            </w:r>
          </w:p>
        </w:tc>
        <w:tc>
          <w:tcPr>
            <w:tcW w:w="1130" w:type="dxa"/>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lang w:val="en-US"/>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w:t>
            </w:r>
            <w:r>
              <w:rPr>
                <w:rFonts w:hint="eastAsia" w:ascii="宋体" w:hAnsi="宋体" w:cs="宋体"/>
                <w:color w:val="000000" w:themeColor="text1"/>
                <w:sz w:val="28"/>
                <w:szCs w:val="24"/>
                <w:highlight w:val="none"/>
                <w:lang w:val="en-US"/>
                <w14:textFill>
                  <w14:solidFill>
                    <w14:schemeClr w14:val="tx1"/>
                  </w14:solidFill>
                </w14:textFill>
              </w:rPr>
              <w:t>40</w:t>
            </w:r>
          </w:p>
        </w:tc>
        <w:tc>
          <w:tcPr>
            <w:tcW w:w="1130" w:type="dxa"/>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lang w:val="en-US"/>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≤45</w:t>
            </w:r>
          </w:p>
        </w:tc>
        <w:tc>
          <w:tcPr>
            <w:tcW w:w="910" w:type="dxa"/>
            <w:shd w:val="clear" w:color="auto" w:fill="auto"/>
            <w:noWrap/>
            <w:tcMar>
              <w:top w:w="15" w:type="dxa"/>
              <w:left w:w="15" w:type="dxa"/>
              <w:right w:w="15" w:type="dxa"/>
            </w:tcMar>
            <w:vAlign w:val="center"/>
          </w:tcPr>
          <w:p>
            <w:pPr>
              <w:spacing w:line="360" w:lineRule="auto"/>
              <w:jc w:val="center"/>
              <w:textAlignment w:val="top"/>
              <w:rPr>
                <w:rFonts w:ascii="宋体" w:hAnsi="宋体" w:cs="宋体"/>
                <w:color w:val="000000" w:themeColor="text1"/>
                <w:sz w:val="28"/>
                <w:highlight w:val="none"/>
                <w:lang w:val="en-US"/>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≤42.5</w:t>
            </w:r>
          </w:p>
        </w:tc>
      </w:tr>
    </w:tbl>
    <w:p>
      <w:pPr>
        <w:pStyle w:val="6"/>
        <w:spacing w:line="360" w:lineRule="auto"/>
        <w:rPr>
          <w:color w:val="000000" w:themeColor="text1"/>
          <w:sz w:val="28"/>
          <w:highlight w:val="none"/>
          <w14:textFill>
            <w14:solidFill>
              <w14:schemeClr w14:val="tx1"/>
            </w14:solidFill>
          </w14:textFill>
        </w:rPr>
      </w:pPr>
      <w:bookmarkStart w:id="95" w:name="_Toc32684"/>
      <w:bookmarkStart w:id="96" w:name="_Toc28025"/>
      <w:r>
        <w:rPr>
          <w:rFonts w:hint="eastAsia"/>
          <w:color w:val="000000" w:themeColor="text1"/>
          <w:sz w:val="28"/>
          <w:highlight w:val="none"/>
          <w14:textFill>
            <w14:solidFill>
              <w14:schemeClr w14:val="tx1"/>
            </w14:solidFill>
          </w14:textFill>
        </w:rPr>
        <w:t>背景噪声计算结论</w:t>
      </w:r>
      <w:bookmarkEnd w:id="95"/>
      <w:bookmarkEnd w:id="96"/>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结果显示本项目最不利房间在关窗状态下的背景噪声值</w:t>
      </w:r>
      <w:r>
        <w:rPr>
          <w:rFonts w:hint="eastAsia" w:ascii="宋体" w:hAnsi="宋体" w:cs="宋体"/>
          <w:b/>
          <w:color w:val="000000" w:themeColor="text1"/>
          <w:sz w:val="28"/>
          <w:szCs w:val="24"/>
          <w:highlight w:val="none"/>
          <w14:textFill>
            <w14:solidFill>
              <w14:schemeClr w14:val="tx1"/>
            </w14:solidFill>
          </w14:textFill>
        </w:rPr>
        <w:t>满足</w:t>
      </w:r>
      <w:r>
        <w:rPr>
          <w:rFonts w:hint="eastAsia" w:ascii="宋体" w:hAnsi="宋体" w:cs="宋体"/>
          <w:color w:val="000000" w:themeColor="text1"/>
          <w:sz w:val="28"/>
          <w:szCs w:val="24"/>
          <w:highlight w:val="none"/>
          <w14:textFill>
            <w14:solidFill>
              <w14:schemeClr w14:val="tx1"/>
            </w14:solidFill>
          </w14:textFill>
        </w:rPr>
        <w:t>《绿色建筑评价标准》</w:t>
      </w:r>
      <w:r>
        <w:rPr>
          <w:rFonts w:hint="eastAsia" w:ascii="宋体" w:hAnsi="宋体" w:cs="宋体"/>
          <w:b/>
          <w:color w:val="000000" w:themeColor="text1"/>
          <w:sz w:val="28"/>
          <w:szCs w:val="24"/>
          <w:highlight w:val="none"/>
          <w14:textFill>
            <w14:solidFill>
              <w14:schemeClr w14:val="tx1"/>
            </w14:solidFill>
          </w14:textFill>
        </w:rPr>
        <w:t xml:space="preserve">5．1．4 </w:t>
      </w:r>
      <w:r>
        <w:rPr>
          <w:rFonts w:hint="eastAsia" w:ascii="宋体" w:hAnsi="宋体" w:cs="宋体"/>
          <w:color w:val="000000" w:themeColor="text1"/>
          <w:sz w:val="28"/>
          <w:szCs w:val="24"/>
          <w:highlight w:val="none"/>
          <w14:textFill>
            <w14:solidFill>
              <w14:schemeClr w14:val="tx1"/>
            </w14:solidFill>
          </w14:textFill>
        </w:rPr>
        <w:t>主要功能房间的室内噪声级应满足现行国家标准《民用建筑隔声设计规范》GB 50118 中的低限要求。</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 xml:space="preserve">满足 </w:t>
      </w:r>
      <w:r>
        <w:rPr>
          <w:rFonts w:ascii="宋体" w:hAnsi="宋体" w:cs="宋体"/>
          <w:b/>
          <w:bCs/>
          <w:color w:val="000000" w:themeColor="text1"/>
          <w:sz w:val="28"/>
          <w:szCs w:val="24"/>
          <w:highlight w:val="none"/>
          <w14:textFill>
            <w14:solidFill>
              <w14:schemeClr w14:val="tx1"/>
            </w14:solidFill>
          </w14:textFill>
        </w:rPr>
        <w:t>5.</w:t>
      </w:r>
      <w:r>
        <w:rPr>
          <w:rFonts w:hint="eastAsia" w:ascii="宋体" w:hAnsi="宋体" w:cs="宋体"/>
          <w:b/>
          <w:bCs/>
          <w:color w:val="000000" w:themeColor="text1"/>
          <w:sz w:val="28"/>
          <w:szCs w:val="24"/>
          <w:highlight w:val="none"/>
          <w14:textFill>
            <w14:solidFill>
              <w14:schemeClr w14:val="tx1"/>
            </w14:solidFill>
          </w14:textFill>
        </w:rPr>
        <w:t>2.</w:t>
      </w:r>
      <w:r>
        <w:rPr>
          <w:rFonts w:ascii="宋体" w:hAnsi="宋体" w:cs="宋体"/>
          <w:b/>
          <w:bCs/>
          <w:color w:val="000000" w:themeColor="text1"/>
          <w:sz w:val="28"/>
          <w:szCs w:val="24"/>
          <w:highlight w:val="none"/>
          <w14:textFill>
            <w14:solidFill>
              <w14:schemeClr w14:val="tx1"/>
            </w14:solidFill>
          </w14:textFill>
        </w:rPr>
        <w:t>6</w:t>
      </w:r>
      <w:r>
        <w:rPr>
          <w:rFonts w:hint="eastAsia" w:ascii="宋体" w:hAnsi="宋体" w:cs="宋体"/>
          <w:b/>
          <w:bCs/>
          <w:color w:val="000000" w:themeColor="text1"/>
          <w:sz w:val="28"/>
          <w:szCs w:val="24"/>
          <w:highlight w:val="none"/>
          <w14:textFill>
            <w14:solidFill>
              <w14:schemeClr w14:val="tx1"/>
            </w14:solidFill>
          </w14:textFill>
        </w:rPr>
        <w:t xml:space="preserve"> </w:t>
      </w:r>
      <w:r>
        <w:rPr>
          <w:rFonts w:hint="eastAsia" w:ascii="宋体" w:hAnsi="宋体" w:cs="宋体"/>
          <w:color w:val="000000" w:themeColor="text1"/>
          <w:sz w:val="28"/>
          <w:szCs w:val="24"/>
          <w:highlight w:val="none"/>
          <w14:textFill>
            <w14:solidFill>
              <w14:schemeClr w14:val="tx1"/>
            </w14:solidFill>
          </w14:textFill>
        </w:rPr>
        <w:t>主要功能房间室内噪声级要求提升，噪声级达到现行国家标准《民用建筑隔声设计规范》GB 50118 中的高要求标准限值的要求，</w:t>
      </w:r>
      <w:r>
        <w:rPr>
          <w:rFonts w:hint="eastAsia" w:ascii="宋体" w:hAnsi="宋体" w:cs="宋体"/>
          <w:b/>
          <w:color w:val="000000" w:themeColor="text1"/>
          <w:sz w:val="28"/>
          <w:szCs w:val="24"/>
          <w:highlight w:val="none"/>
          <w14:textFill>
            <w14:solidFill>
              <w14:schemeClr w14:val="tx1"/>
            </w14:solidFill>
          </w14:textFill>
        </w:rPr>
        <w:t xml:space="preserve">得 </w:t>
      </w:r>
      <w:r>
        <w:rPr>
          <w:rFonts w:ascii="宋体" w:hAnsi="宋体" w:cs="宋体"/>
          <w:b/>
          <w:color w:val="000000" w:themeColor="text1"/>
          <w:sz w:val="28"/>
          <w:szCs w:val="24"/>
          <w:highlight w:val="none"/>
          <w:lang w:val="en-US"/>
          <w14:textFill>
            <w14:solidFill>
              <w14:schemeClr w14:val="tx1"/>
            </w14:solidFill>
          </w14:textFill>
        </w:rPr>
        <w:t>8</w:t>
      </w:r>
      <w:r>
        <w:rPr>
          <w:rFonts w:hint="eastAsia" w:ascii="宋体" w:hAnsi="宋体" w:cs="宋体"/>
          <w:b/>
          <w:color w:val="000000" w:themeColor="text1"/>
          <w:sz w:val="28"/>
          <w:szCs w:val="24"/>
          <w:highlight w:val="none"/>
          <w14:textFill>
            <w14:solidFill>
              <w14:schemeClr w14:val="tx1"/>
            </w14:solidFill>
          </w14:textFill>
        </w:rPr>
        <w:t xml:space="preserve"> 分</w:t>
      </w:r>
      <w:r>
        <w:rPr>
          <w:rFonts w:hint="eastAsia" w:ascii="宋体" w:hAnsi="宋体" w:cs="宋体"/>
          <w:color w:val="000000" w:themeColor="text1"/>
          <w:sz w:val="28"/>
          <w:szCs w:val="24"/>
          <w:highlight w:val="none"/>
          <w14:textFill>
            <w14:solidFill>
              <w14:schemeClr w14:val="tx1"/>
            </w14:solidFill>
          </w14:textFill>
        </w:rPr>
        <w:t>；</w:t>
      </w:r>
    </w:p>
    <w:p>
      <w:pPr>
        <w:pStyle w:val="3"/>
        <w:spacing w:line="360" w:lineRule="auto"/>
        <w:rPr>
          <w:color w:val="000000" w:themeColor="text1"/>
          <w:highlight w:val="none"/>
          <w14:textFill>
            <w14:solidFill>
              <w14:schemeClr w14:val="tx1"/>
            </w14:solidFill>
          </w14:textFill>
        </w:rPr>
      </w:pPr>
      <w:bookmarkStart w:id="97" w:name="_Toc32124"/>
      <w:bookmarkStart w:id="98" w:name="_Toc15243"/>
      <w:bookmarkStart w:id="99" w:name="_Toc20426"/>
      <w:r>
        <w:rPr>
          <w:rFonts w:hint="eastAsia"/>
          <w:color w:val="000000" w:themeColor="text1"/>
          <w:highlight w:val="none"/>
          <w14:textFill>
            <w14:solidFill>
              <w14:schemeClr w14:val="tx1"/>
            </w14:solidFill>
          </w14:textFill>
        </w:rPr>
        <w:t>结论</w:t>
      </w:r>
      <w:bookmarkEnd w:id="97"/>
      <w:bookmarkEnd w:id="98"/>
      <w:bookmarkEnd w:id="99"/>
    </w:p>
    <w:p>
      <w:pPr>
        <w:pStyle w:val="5"/>
        <w:spacing w:line="360" w:lineRule="auto"/>
        <w:rPr>
          <w:color w:val="000000" w:themeColor="text1"/>
          <w:sz w:val="28"/>
          <w:highlight w:val="none"/>
          <w14:textFill>
            <w14:solidFill>
              <w14:schemeClr w14:val="tx1"/>
            </w14:solidFill>
          </w14:textFill>
        </w:rPr>
      </w:pPr>
      <w:bookmarkStart w:id="100" w:name="_Toc25422"/>
      <w:bookmarkStart w:id="101" w:name="_Toc31736"/>
      <w:r>
        <w:rPr>
          <w:rFonts w:hint="eastAsia"/>
          <w:color w:val="000000" w:themeColor="text1"/>
          <w:sz w:val="28"/>
          <w:highlight w:val="none"/>
          <w14:textFill>
            <w14:solidFill>
              <w14:schemeClr w14:val="tx1"/>
            </w14:solidFill>
          </w14:textFill>
        </w:rPr>
        <w:t>隔声</w:t>
      </w:r>
      <w:bookmarkEnd w:id="100"/>
      <w:bookmarkEnd w:id="101"/>
    </w:p>
    <w:tbl>
      <w:tblPr>
        <w:tblStyle w:val="25"/>
        <w:tblW w:w="83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851"/>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构造部位撞击声隔声量</w:t>
            </w:r>
          </w:p>
        </w:tc>
        <w:tc>
          <w:tcPr>
            <w:tcW w:w="85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w:t>
            </w:r>
          </w:p>
        </w:tc>
        <w:tc>
          <w:tcPr>
            <w:tcW w:w="1417"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低限标准值</w:t>
            </w:r>
          </w:p>
        </w:tc>
        <w:tc>
          <w:tcPr>
            <w:tcW w:w="170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高要求标准限值</w:t>
            </w:r>
          </w:p>
        </w:tc>
        <w:tc>
          <w:tcPr>
            <w:tcW w:w="1418"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85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7"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70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8"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953" w:type="dxa"/>
            <w:shd w:val="clear" w:color="auto" w:fill="auto"/>
            <w:vAlign w:val="center"/>
          </w:tcPr>
          <w:p>
            <w:pPr>
              <w:spacing w:line="360" w:lineRule="auto"/>
              <w:jc w:val="both"/>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办公室</w:t>
            </w:r>
            <w:r>
              <w:rPr>
                <w:rFonts w:hint="eastAsia" w:ascii="宋体" w:hAnsi="宋体" w:cs="宋体"/>
                <w:color w:val="000000" w:themeColor="text1"/>
                <w:sz w:val="28"/>
                <w:szCs w:val="21"/>
                <w:highlight w:val="none"/>
                <w:lang w:val="en-US"/>
                <w14:textFill>
                  <w14:solidFill>
                    <w14:schemeClr w14:val="tx1"/>
                  </w14:solidFill>
                </w14:textFill>
              </w:rPr>
              <w:t>、</w:t>
            </w:r>
            <w:r>
              <w:rPr>
                <w:rFonts w:hint="eastAsia" w:ascii="宋体" w:hAnsi="宋体" w:cs="宋体"/>
                <w:color w:val="000000" w:themeColor="text1"/>
                <w:sz w:val="28"/>
                <w:szCs w:val="21"/>
                <w:highlight w:val="none"/>
                <w:lang w:val="en-US" w:eastAsia="zh-CN"/>
                <w14:textFill>
                  <w14:solidFill>
                    <w14:schemeClr w14:val="tx1"/>
                  </w14:solidFill>
                </w14:textFill>
              </w:rPr>
              <w:t>会议室</w:t>
            </w:r>
            <w:r>
              <w:rPr>
                <w:rFonts w:hint="eastAsia" w:ascii="宋体" w:hAnsi="宋体" w:cs="宋体"/>
                <w:color w:val="000000" w:themeColor="text1"/>
                <w:sz w:val="28"/>
                <w:szCs w:val="21"/>
                <w:highlight w:val="none"/>
                <w:lang w:val="en-US"/>
                <w14:textFill>
                  <w14:solidFill>
                    <w14:schemeClr w14:val="tx1"/>
                  </w14:solidFill>
                </w14:textFill>
              </w:rPr>
              <w:t>等之间的隔墙、楼板</w:t>
            </w:r>
          </w:p>
        </w:tc>
        <w:tc>
          <w:tcPr>
            <w:tcW w:w="851" w:type="dxa"/>
            <w:shd w:val="clear" w:color="auto" w:fill="auto"/>
            <w:vAlign w:val="center"/>
          </w:tcPr>
          <w:p>
            <w:pPr>
              <w:spacing w:line="360" w:lineRule="auto"/>
              <w:jc w:val="center"/>
              <w:rPr>
                <w:rFonts w:hint="default" w:ascii="宋体" w:hAnsi="宋体" w:eastAsia="宋体" w:cs="宋体"/>
                <w:color w:val="000000" w:themeColor="text1"/>
                <w:sz w:val="28"/>
                <w:szCs w:val="21"/>
                <w:highlight w:val="none"/>
                <w:lang w:val="en-US" w:eastAsia="zh-CN"/>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69.2</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≤75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≤65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≤70</w:t>
            </w:r>
          </w:p>
        </w:tc>
      </w:tr>
    </w:tbl>
    <w:p>
      <w:pPr>
        <w:rPr>
          <w:color w:val="000000" w:themeColor="text1"/>
          <w:sz w:val="28"/>
          <w:highlight w:val="none"/>
          <w14:textFill>
            <w14:solidFill>
              <w14:schemeClr w14:val="tx1"/>
            </w14:solidFill>
          </w14:textFill>
        </w:rPr>
      </w:pPr>
    </w:p>
    <w:p>
      <w:pPr>
        <w:pStyle w:val="2"/>
        <w:ind w:firstLine="560"/>
        <w:rPr>
          <w:color w:val="000000" w:themeColor="text1"/>
          <w:sz w:val="28"/>
          <w:highlight w:val="none"/>
          <w:lang w:val="en-GB"/>
          <w14:textFill>
            <w14:solidFill>
              <w14:schemeClr w14:val="tx1"/>
            </w14:solidFill>
          </w14:textFill>
        </w:rPr>
      </w:pPr>
    </w:p>
    <w:p>
      <w:pPr>
        <w:pStyle w:val="2"/>
        <w:ind w:firstLine="560"/>
        <w:rPr>
          <w:color w:val="000000" w:themeColor="text1"/>
          <w:sz w:val="28"/>
          <w:highlight w:val="none"/>
          <w:lang w:val="en-GB"/>
          <w14:textFill>
            <w14:solidFill>
              <w14:schemeClr w14:val="tx1"/>
            </w14:solidFill>
          </w14:textFill>
        </w:rPr>
      </w:pPr>
    </w:p>
    <w:tbl>
      <w:tblPr>
        <w:tblStyle w:val="25"/>
        <w:tblW w:w="83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851"/>
        <w:gridCol w:w="1417"/>
        <w:gridCol w:w="17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构造部位空气计权隔声量</w:t>
            </w:r>
          </w:p>
        </w:tc>
        <w:tc>
          <w:tcPr>
            <w:tcW w:w="85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隔声量</w:t>
            </w:r>
          </w:p>
        </w:tc>
        <w:tc>
          <w:tcPr>
            <w:tcW w:w="1417"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低限标准值</w:t>
            </w:r>
          </w:p>
        </w:tc>
        <w:tc>
          <w:tcPr>
            <w:tcW w:w="1701"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高要求标准限值</w:t>
            </w:r>
          </w:p>
        </w:tc>
        <w:tc>
          <w:tcPr>
            <w:tcW w:w="1418" w:type="dxa"/>
            <w:vMerge w:val="restart"/>
            <w:shd w:val="clear" w:color="000000" w:fill="D9D9D9"/>
            <w:vAlign w:val="center"/>
          </w:tcPr>
          <w:p>
            <w:pPr>
              <w:spacing w:line="360" w:lineRule="auto"/>
              <w:jc w:val="center"/>
              <w:rPr>
                <w:rFonts w:ascii="宋体" w:hAnsi="宋体" w:cs="宋体"/>
                <w:color w:val="000000" w:themeColor="text1"/>
                <w:sz w:val="28"/>
                <w:szCs w:val="21"/>
                <w:highlight w:val="none"/>
                <w14:textFill>
                  <w14:solidFill>
                    <w14:schemeClr w14:val="tx1"/>
                  </w14:solidFill>
                </w14:textFill>
              </w:rPr>
            </w:pPr>
            <w:r>
              <w:rPr>
                <w:rFonts w:hint="eastAsia" w:ascii="宋体" w:hAnsi="宋体" w:cs="宋体"/>
                <w:color w:val="000000" w:themeColor="text1"/>
                <w:sz w:val="28"/>
                <w:szCs w:val="21"/>
                <w:highlight w:val="none"/>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953"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85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7"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701"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c>
          <w:tcPr>
            <w:tcW w:w="1418" w:type="dxa"/>
            <w:vMerge w:val="continue"/>
            <w:vAlign w:val="center"/>
          </w:tcPr>
          <w:p>
            <w:pPr>
              <w:spacing w:line="360" w:lineRule="auto"/>
              <w:rPr>
                <w:rFonts w:ascii="宋体" w:hAnsi="宋体" w:cs="宋体"/>
                <w:color w:val="000000" w:themeColor="text1"/>
                <w:sz w:val="28"/>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办公</w:t>
            </w:r>
            <w:r>
              <w:rPr>
                <w:rFonts w:hint="eastAsia" w:ascii="宋体" w:hAnsi="宋体" w:cs="宋体"/>
                <w:color w:val="000000" w:themeColor="text1"/>
                <w:sz w:val="28"/>
                <w:szCs w:val="21"/>
                <w:highlight w:val="none"/>
                <w:lang w:val="en-US"/>
                <w14:textFill>
                  <w14:solidFill>
                    <w14:schemeClr w14:val="tx1"/>
                  </w14:solidFill>
                </w14:textFill>
              </w:rPr>
              <w:t>室、</w:t>
            </w:r>
            <w:r>
              <w:rPr>
                <w:rFonts w:hint="eastAsia" w:ascii="宋体" w:hAnsi="宋体" w:cs="宋体"/>
                <w:color w:val="000000" w:themeColor="text1"/>
                <w:sz w:val="28"/>
                <w:szCs w:val="21"/>
                <w:highlight w:val="none"/>
                <w:lang w:val="en-US" w:eastAsia="zh-CN"/>
                <w14:textFill>
                  <w14:solidFill>
                    <w14:schemeClr w14:val="tx1"/>
                  </w14:solidFill>
                </w14:textFill>
              </w:rPr>
              <w:t>会议室</w:t>
            </w:r>
            <w:r>
              <w:rPr>
                <w:rFonts w:hint="eastAsia" w:ascii="宋体" w:hAnsi="宋体" w:cs="宋体"/>
                <w:color w:val="000000" w:themeColor="text1"/>
                <w:sz w:val="28"/>
                <w:szCs w:val="21"/>
                <w:highlight w:val="none"/>
                <w:lang w:val="en-US"/>
                <w14:textFill>
                  <w14:solidFill>
                    <w14:schemeClr w14:val="tx1"/>
                  </w14:solidFill>
                </w14:textFill>
              </w:rPr>
              <w:t>等之间的隔墙</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52.5</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eastAsia="zh-CN"/>
                <w14:textFill>
                  <w14:solidFill>
                    <w14:schemeClr w14:val="tx1"/>
                  </w14:solidFill>
                </w14:textFill>
              </w:rPr>
              <w:t>办公</w:t>
            </w:r>
            <w:r>
              <w:rPr>
                <w:rFonts w:hint="eastAsia" w:ascii="宋体" w:hAnsi="宋体" w:cs="宋体"/>
                <w:color w:val="000000" w:themeColor="text1"/>
                <w:sz w:val="28"/>
                <w:szCs w:val="21"/>
                <w:highlight w:val="none"/>
                <w:lang w:val="en-US"/>
                <w14:textFill>
                  <w14:solidFill>
                    <w14:schemeClr w14:val="tx1"/>
                  </w14:solidFill>
                </w14:textFill>
              </w:rPr>
              <w:t>室、</w:t>
            </w:r>
            <w:r>
              <w:rPr>
                <w:rFonts w:hint="eastAsia" w:ascii="宋体" w:hAnsi="宋体" w:cs="宋体"/>
                <w:color w:val="000000" w:themeColor="text1"/>
                <w:sz w:val="28"/>
                <w:szCs w:val="21"/>
                <w:highlight w:val="none"/>
                <w:lang w:val="en-US" w:eastAsia="zh-CN"/>
                <w14:textFill>
                  <w14:solidFill>
                    <w14:schemeClr w14:val="tx1"/>
                  </w14:solidFill>
                </w14:textFill>
              </w:rPr>
              <w:t>会议</w:t>
            </w:r>
            <w:r>
              <w:rPr>
                <w:rFonts w:hint="eastAsia" w:ascii="宋体" w:hAnsi="宋体" w:cs="宋体"/>
                <w:color w:val="000000" w:themeColor="text1"/>
                <w:sz w:val="28"/>
                <w:szCs w:val="21"/>
                <w:highlight w:val="none"/>
                <w:lang w:val="en-US"/>
                <w14:textFill>
                  <w14:solidFill>
                    <w14:schemeClr w14:val="tx1"/>
                  </w14:solidFill>
                </w14:textFill>
              </w:rPr>
              <w:t>室等之间的楼板</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50.2</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外墙</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ascii="宋体" w:hAnsi="宋体" w:cs="宋体"/>
                <w:color w:val="000000" w:themeColor="text1"/>
                <w:sz w:val="28"/>
                <w:szCs w:val="21"/>
                <w:highlight w:val="none"/>
                <w:lang w:val="en-US"/>
                <w14:textFill>
                  <w14:solidFill>
                    <w14:schemeClr w14:val="tx1"/>
                  </w14:solidFill>
                </w14:textFill>
              </w:rPr>
              <w:t>46.9</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≥45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外窗</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33.0</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25</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35</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w:t>
            </w:r>
            <w:r>
              <w:rPr>
                <w:rFonts w:ascii="宋体" w:hAnsi="宋体" w:cs="宋体"/>
                <w:color w:val="000000" w:themeColor="text1"/>
                <w:sz w:val="28"/>
                <w:szCs w:val="21"/>
                <w:highlight w:val="none"/>
                <w:lang w:val="en-US"/>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953"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门</w:t>
            </w:r>
          </w:p>
        </w:tc>
        <w:tc>
          <w:tcPr>
            <w:tcW w:w="85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35.0</w:t>
            </w:r>
          </w:p>
        </w:tc>
        <w:tc>
          <w:tcPr>
            <w:tcW w:w="1417"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≥20</w:t>
            </w:r>
          </w:p>
        </w:tc>
        <w:tc>
          <w:tcPr>
            <w:tcW w:w="1701"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≥30</w:t>
            </w:r>
          </w:p>
        </w:tc>
        <w:tc>
          <w:tcPr>
            <w:tcW w:w="1418" w:type="dxa"/>
            <w:shd w:val="clear" w:color="auto" w:fill="auto"/>
            <w:vAlign w:val="center"/>
          </w:tcPr>
          <w:p>
            <w:pPr>
              <w:spacing w:line="360" w:lineRule="auto"/>
              <w:jc w:val="center"/>
              <w:rPr>
                <w:rFonts w:ascii="宋体" w:hAnsi="宋体" w:cs="宋体"/>
                <w:color w:val="000000" w:themeColor="text1"/>
                <w:sz w:val="28"/>
                <w:szCs w:val="21"/>
                <w:highlight w:val="none"/>
                <w:lang w:val="en-US"/>
                <w14:textFill>
                  <w14:solidFill>
                    <w14:schemeClr w14:val="tx1"/>
                  </w14:solidFill>
                </w14:textFill>
              </w:rPr>
            </w:pPr>
            <w:r>
              <w:rPr>
                <w:rFonts w:hint="eastAsia" w:ascii="宋体" w:hAnsi="宋体" w:cs="宋体"/>
                <w:color w:val="000000" w:themeColor="text1"/>
                <w:sz w:val="28"/>
                <w:szCs w:val="21"/>
                <w:highlight w:val="none"/>
                <w:lang w:val="en-US"/>
                <w14:textFill>
                  <w14:solidFill>
                    <w14:schemeClr w14:val="tx1"/>
                  </w14:solidFill>
                </w14:textFill>
              </w:rPr>
              <w:t>≥25</w:t>
            </w:r>
          </w:p>
        </w:tc>
      </w:tr>
    </w:tbl>
    <w:p>
      <w:pPr>
        <w:spacing w:line="360" w:lineRule="auto"/>
        <w:ind w:firstLine="420" w:firstLineChars="150"/>
        <w:rPr>
          <w:color w:val="000000" w:themeColor="text1"/>
          <w:sz w:val="28"/>
          <w:szCs w:val="24"/>
          <w:highlight w:val="none"/>
          <w14:textFill>
            <w14:solidFill>
              <w14:schemeClr w14:val="tx1"/>
            </w14:solidFill>
          </w14:textFill>
        </w:rPr>
      </w:pPr>
      <w:bookmarkStart w:id="102" w:name="_Toc32076"/>
      <w:r>
        <w:rPr>
          <w:rFonts w:hint="eastAsia"/>
          <w:color w:val="000000" w:themeColor="text1"/>
          <w:sz w:val="28"/>
          <w:szCs w:val="24"/>
          <w:highlight w:val="none"/>
          <w14:textFill>
            <w14:solidFill>
              <w14:schemeClr w14:val="tx1"/>
            </w14:solidFill>
          </w14:textFill>
        </w:rPr>
        <w:t>综上所述，该项目所涉及条款。</w:t>
      </w:r>
    </w:p>
    <w:p>
      <w:pPr>
        <w:spacing w:line="360" w:lineRule="auto"/>
        <w:ind w:firstLine="422" w:firstLineChars="150"/>
        <w:rPr>
          <w:color w:val="000000" w:themeColor="text1"/>
          <w:sz w:val="28"/>
          <w:szCs w:val="24"/>
          <w:highlight w:val="none"/>
          <w14:textFill>
            <w14:solidFill>
              <w14:schemeClr w14:val="tx1"/>
            </w14:solidFill>
          </w14:textFill>
        </w:rPr>
      </w:pPr>
      <w:r>
        <w:rPr>
          <w:rFonts w:hint="eastAsia"/>
          <w:b/>
          <w:color w:val="000000" w:themeColor="text1"/>
          <w:sz w:val="28"/>
          <w:szCs w:val="24"/>
          <w:highlight w:val="none"/>
          <w14:textFill>
            <w14:solidFill>
              <w14:schemeClr w14:val="tx1"/>
            </w14:solidFill>
          </w14:textFill>
        </w:rPr>
        <w:t xml:space="preserve"> 满足</w:t>
      </w:r>
      <w:r>
        <w:rPr>
          <w:rFonts w:hint="eastAsia"/>
          <w:color w:val="000000" w:themeColor="text1"/>
          <w:sz w:val="28"/>
          <w:szCs w:val="24"/>
          <w:highlight w:val="none"/>
          <w14:textFill>
            <w14:solidFill>
              <w14:schemeClr w14:val="tx1"/>
            </w14:solidFill>
          </w14:textFill>
        </w:rPr>
        <w:t>控制项</w:t>
      </w:r>
      <w:r>
        <w:rPr>
          <w:color w:val="000000" w:themeColor="text1"/>
          <w:sz w:val="28"/>
          <w:szCs w:val="24"/>
          <w:highlight w:val="none"/>
          <w14:textFill>
            <w14:solidFill>
              <w14:schemeClr w14:val="tx1"/>
            </w14:solidFill>
          </w14:textFill>
        </w:rPr>
        <w:t>5．1．</w:t>
      </w:r>
      <w:r>
        <w:rPr>
          <w:rFonts w:hint="eastAsia"/>
          <w:color w:val="000000" w:themeColor="text1"/>
          <w:sz w:val="28"/>
          <w:szCs w:val="24"/>
          <w:highlight w:val="none"/>
          <w14:textFill>
            <w14:solidFill>
              <w14:schemeClr w14:val="tx1"/>
            </w14:solidFill>
          </w14:textFill>
        </w:rPr>
        <w:t>4</w:t>
      </w:r>
      <w:r>
        <w:rPr>
          <w:color w:val="000000" w:themeColor="text1"/>
          <w:sz w:val="28"/>
          <w:szCs w:val="24"/>
          <w:highlight w:val="none"/>
          <w14:textFill>
            <w14:solidFill>
              <w14:schemeClr w14:val="tx1"/>
            </w14:solidFill>
          </w14:textFill>
        </w:rPr>
        <w:t xml:space="preserve"> 主要功能房间的外墙、隔墙、楼板和门窗的隔声性能应满足现行国家标准《民用建筑隔声设计规范》GB 50118中的低限要求。</w:t>
      </w:r>
    </w:p>
    <w:p>
      <w:pPr>
        <w:spacing w:line="360" w:lineRule="auto"/>
        <w:ind w:firstLine="420" w:firstLineChars="150"/>
        <w:rPr>
          <w:b/>
          <w:color w:val="000000" w:themeColor="text1"/>
          <w:sz w:val="28"/>
          <w:szCs w:val="24"/>
          <w:highlight w:val="none"/>
          <w14:textFill>
            <w14:solidFill>
              <w14:schemeClr w14:val="tx1"/>
            </w14:solidFill>
          </w14:textFill>
        </w:rPr>
      </w:pPr>
      <w:r>
        <w:rPr>
          <w:color w:val="000000" w:themeColor="text1"/>
          <w:sz w:val="28"/>
          <w:szCs w:val="24"/>
          <w:highlight w:val="none"/>
          <w14:textFill>
            <w14:solidFill>
              <w14:schemeClr w14:val="tx1"/>
            </w14:solidFill>
          </w14:textFill>
        </w:rPr>
        <w:t>主要功能房间的隔声性能良好</w:t>
      </w:r>
      <w:r>
        <w:rPr>
          <w:rFonts w:hint="eastAsia"/>
          <w:color w:val="000000" w:themeColor="text1"/>
          <w:sz w:val="28"/>
          <w:szCs w:val="24"/>
          <w:highlight w:val="none"/>
          <w14:textFill>
            <w14:solidFill>
              <w14:schemeClr w14:val="tx1"/>
            </w14:solidFill>
          </w14:textFill>
        </w:rPr>
        <w:t>满足</w:t>
      </w:r>
      <w:r>
        <w:rPr>
          <w:color w:val="000000" w:themeColor="text1"/>
          <w:sz w:val="28"/>
          <w:szCs w:val="24"/>
          <w:highlight w:val="none"/>
          <w14:textFill>
            <w14:solidFill>
              <w14:schemeClr w14:val="tx1"/>
            </w14:solidFill>
          </w14:textFill>
        </w:rPr>
        <w:t>5.2.7</w:t>
      </w:r>
      <w:r>
        <w:rPr>
          <w:rFonts w:hint="eastAsia"/>
          <w:color w:val="000000" w:themeColor="text1"/>
          <w:sz w:val="28"/>
          <w:szCs w:val="24"/>
          <w:highlight w:val="none"/>
          <w14:textFill>
            <w14:solidFill>
              <w14:schemeClr w14:val="tx1"/>
            </w14:solidFill>
          </w14:textFill>
        </w:rPr>
        <w:t>中</w:t>
      </w:r>
      <w:r>
        <w:rPr>
          <w:color w:val="000000" w:themeColor="text1"/>
          <w:sz w:val="28"/>
          <w:szCs w:val="24"/>
          <w:highlight w:val="none"/>
          <w14:textFill>
            <w14:solidFill>
              <w14:schemeClr w14:val="tx1"/>
            </w14:solidFill>
          </w14:textFill>
        </w:rPr>
        <w:t>构件及相邻房间之间的空气声隔声性能达到现行国家标准《民用建筑隔声设计规范》GB 50118中的低限标准限值</w:t>
      </w:r>
      <w:r>
        <w:rPr>
          <w:rFonts w:hint="eastAsia"/>
          <w:color w:val="000000" w:themeColor="text1"/>
          <w:sz w:val="28"/>
          <w:szCs w:val="24"/>
          <w:highlight w:val="none"/>
          <w14:textFill>
            <w14:solidFill>
              <w14:schemeClr w14:val="tx1"/>
            </w14:solidFill>
          </w14:textFill>
        </w:rPr>
        <w:t>和高要求标准限值的平均值，</w:t>
      </w:r>
      <w:r>
        <w:rPr>
          <w:rFonts w:hint="eastAsia"/>
          <w:color w:val="000000" w:themeColor="text1"/>
          <w:sz w:val="28"/>
          <w:szCs w:val="24"/>
          <w:highlight w:val="none"/>
          <w:lang w:val="en-US"/>
          <w14:textFill>
            <w14:solidFill>
              <w14:schemeClr w14:val="tx1"/>
            </w14:solidFill>
          </w14:textFill>
        </w:rPr>
        <w:t>得</w:t>
      </w:r>
      <w:r>
        <w:rPr>
          <w:color w:val="000000" w:themeColor="text1"/>
          <w:sz w:val="28"/>
          <w:szCs w:val="24"/>
          <w:highlight w:val="none"/>
          <w:lang w:val="en-US"/>
          <w14:textFill>
            <w14:solidFill>
              <w14:schemeClr w14:val="tx1"/>
            </w14:solidFill>
          </w14:textFill>
        </w:rPr>
        <w:t>3</w:t>
      </w:r>
      <w:r>
        <w:rPr>
          <w:rFonts w:hint="eastAsia"/>
          <w:color w:val="000000" w:themeColor="text1"/>
          <w:sz w:val="28"/>
          <w:szCs w:val="24"/>
          <w:highlight w:val="none"/>
          <w:lang w:val="en-US"/>
          <w14:textFill>
            <w14:solidFill>
              <w14:schemeClr w14:val="tx1"/>
            </w14:solidFill>
          </w14:textFill>
        </w:rPr>
        <w:t>分</w:t>
      </w:r>
      <w:r>
        <w:rPr>
          <w:color w:val="000000" w:themeColor="text1"/>
          <w:sz w:val="28"/>
          <w:szCs w:val="24"/>
          <w:highlight w:val="none"/>
          <w14:textFill>
            <w14:solidFill>
              <w14:schemeClr w14:val="tx1"/>
            </w14:solidFill>
          </w14:textFill>
        </w:rPr>
        <w:t>；楼板的撞击声隔声性能达到现行国家标准《民用建筑隔声设计规范》GB 50118中的低限标准限值</w:t>
      </w:r>
      <w:r>
        <w:rPr>
          <w:rFonts w:hint="eastAsia"/>
          <w:color w:val="000000" w:themeColor="text1"/>
          <w:sz w:val="28"/>
          <w:szCs w:val="24"/>
          <w:highlight w:val="none"/>
          <w14:textFill>
            <w14:solidFill>
              <w14:schemeClr w14:val="tx1"/>
            </w14:solidFill>
          </w14:textFill>
        </w:rPr>
        <w:t>和高要求标准限值的平均值</w:t>
      </w:r>
      <w:r>
        <w:rPr>
          <w:color w:val="000000" w:themeColor="text1"/>
          <w:sz w:val="28"/>
          <w:szCs w:val="24"/>
          <w:highlight w:val="none"/>
          <w14:textFill>
            <w14:solidFill>
              <w14:schemeClr w14:val="tx1"/>
            </w14:solidFill>
          </w14:textFill>
        </w:rPr>
        <w:t>，得</w:t>
      </w:r>
      <w:r>
        <w:rPr>
          <w:rFonts w:hint="eastAsia"/>
          <w:color w:val="000000" w:themeColor="text1"/>
          <w:sz w:val="28"/>
          <w:szCs w:val="24"/>
          <w:highlight w:val="none"/>
          <w:lang w:val="en-US" w:eastAsia="zh-CN"/>
          <w14:textFill>
            <w14:solidFill>
              <w14:schemeClr w14:val="tx1"/>
            </w14:solidFill>
          </w14:textFill>
        </w:rPr>
        <w:t>3</w:t>
      </w:r>
      <w:r>
        <w:rPr>
          <w:color w:val="000000" w:themeColor="text1"/>
          <w:sz w:val="28"/>
          <w:szCs w:val="24"/>
          <w:highlight w:val="none"/>
          <w14:textFill>
            <w14:solidFill>
              <w14:schemeClr w14:val="tx1"/>
            </w14:solidFill>
          </w14:textFill>
        </w:rPr>
        <w:t>分；</w:t>
      </w:r>
      <w:r>
        <w:rPr>
          <w:rFonts w:hint="eastAsia"/>
          <w:b/>
          <w:color w:val="000000" w:themeColor="text1"/>
          <w:sz w:val="28"/>
          <w:szCs w:val="24"/>
          <w:highlight w:val="none"/>
          <w14:textFill>
            <w14:solidFill>
              <w14:schemeClr w14:val="tx1"/>
            </w14:solidFill>
          </w14:textFill>
        </w:rPr>
        <w:t>得分</w:t>
      </w:r>
      <w:r>
        <w:rPr>
          <w:rFonts w:hint="eastAsia"/>
          <w:b/>
          <w:color w:val="000000" w:themeColor="text1"/>
          <w:sz w:val="28"/>
          <w:szCs w:val="24"/>
          <w:highlight w:val="none"/>
          <w:lang w:val="en-US" w:eastAsia="zh-CN"/>
          <w14:textFill>
            <w14:solidFill>
              <w14:schemeClr w14:val="tx1"/>
            </w14:solidFill>
          </w14:textFill>
        </w:rPr>
        <w:t>6</w:t>
      </w:r>
      <w:r>
        <w:rPr>
          <w:rFonts w:hint="eastAsia"/>
          <w:b/>
          <w:color w:val="000000" w:themeColor="text1"/>
          <w:sz w:val="28"/>
          <w:szCs w:val="24"/>
          <w:highlight w:val="none"/>
          <w14:textFill>
            <w14:solidFill>
              <w14:schemeClr w14:val="tx1"/>
            </w14:solidFill>
          </w14:textFill>
        </w:rPr>
        <w:t>分。</w:t>
      </w:r>
    </w:p>
    <w:p>
      <w:pPr>
        <w:pStyle w:val="5"/>
        <w:spacing w:line="360" w:lineRule="auto"/>
        <w:rPr>
          <w:color w:val="000000" w:themeColor="text1"/>
          <w:sz w:val="28"/>
          <w:highlight w:val="none"/>
          <w14:textFill>
            <w14:solidFill>
              <w14:schemeClr w14:val="tx1"/>
            </w14:solidFill>
          </w14:textFill>
        </w:rPr>
      </w:pPr>
      <w:bookmarkStart w:id="103" w:name="_Toc30515"/>
      <w:r>
        <w:rPr>
          <w:rFonts w:hint="eastAsia"/>
          <w:color w:val="000000" w:themeColor="text1"/>
          <w:sz w:val="28"/>
          <w:highlight w:val="none"/>
          <w14:textFill>
            <w14:solidFill>
              <w14:schemeClr w14:val="tx1"/>
            </w14:solidFill>
          </w14:textFill>
        </w:rPr>
        <w:t>室内背景噪声</w:t>
      </w:r>
      <w:bookmarkEnd w:id="102"/>
      <w:bookmarkEnd w:id="103"/>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结果显示本项目最不利房间在关窗状态下的背景噪声值</w:t>
      </w:r>
      <w:r>
        <w:rPr>
          <w:rFonts w:hint="eastAsia" w:ascii="宋体" w:hAnsi="宋体" w:cs="宋体"/>
          <w:b/>
          <w:color w:val="000000" w:themeColor="text1"/>
          <w:sz w:val="28"/>
          <w:szCs w:val="24"/>
          <w:highlight w:val="none"/>
          <w14:textFill>
            <w14:solidFill>
              <w14:schemeClr w14:val="tx1"/>
            </w14:solidFill>
          </w14:textFill>
        </w:rPr>
        <w:t>满足</w:t>
      </w:r>
      <w:r>
        <w:rPr>
          <w:rFonts w:hint="eastAsia" w:ascii="宋体" w:hAnsi="宋体" w:cs="宋体"/>
          <w:color w:val="000000" w:themeColor="text1"/>
          <w:sz w:val="28"/>
          <w:szCs w:val="24"/>
          <w:highlight w:val="none"/>
          <w14:textFill>
            <w14:solidFill>
              <w14:schemeClr w14:val="tx1"/>
            </w14:solidFill>
          </w14:textFill>
        </w:rPr>
        <w:t>《绿色建筑评价标准》</w:t>
      </w:r>
      <w:r>
        <w:rPr>
          <w:rFonts w:hint="eastAsia" w:ascii="宋体" w:hAnsi="宋体" w:cs="宋体"/>
          <w:b/>
          <w:color w:val="000000" w:themeColor="text1"/>
          <w:sz w:val="28"/>
          <w:szCs w:val="24"/>
          <w:highlight w:val="none"/>
          <w14:textFill>
            <w14:solidFill>
              <w14:schemeClr w14:val="tx1"/>
            </w14:solidFill>
          </w14:textFill>
        </w:rPr>
        <w:t xml:space="preserve">5．1．4 </w:t>
      </w:r>
      <w:r>
        <w:rPr>
          <w:rFonts w:hint="eastAsia" w:ascii="宋体" w:hAnsi="宋体" w:cs="宋体"/>
          <w:color w:val="000000" w:themeColor="text1"/>
          <w:sz w:val="28"/>
          <w:szCs w:val="24"/>
          <w:highlight w:val="none"/>
          <w14:textFill>
            <w14:solidFill>
              <w14:schemeClr w14:val="tx1"/>
            </w14:solidFill>
          </w14:textFill>
        </w:rPr>
        <w:t>主要功能房间的室内噪声级应满足现行国家标准《民用建筑隔声设计规范》GB 50118 中的低限要求。</w:t>
      </w:r>
    </w:p>
    <w:p>
      <w:pPr>
        <w:spacing w:line="360" w:lineRule="auto"/>
        <w:ind w:firstLine="560" w:firstLineChars="200"/>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 xml:space="preserve">满足 </w:t>
      </w:r>
      <w:r>
        <w:rPr>
          <w:rFonts w:ascii="宋体" w:hAnsi="宋体" w:cs="宋体"/>
          <w:b/>
          <w:bCs/>
          <w:color w:val="000000" w:themeColor="text1"/>
          <w:sz w:val="28"/>
          <w:szCs w:val="24"/>
          <w:highlight w:val="none"/>
          <w14:textFill>
            <w14:solidFill>
              <w14:schemeClr w14:val="tx1"/>
            </w14:solidFill>
          </w14:textFill>
        </w:rPr>
        <w:t>5.</w:t>
      </w:r>
      <w:r>
        <w:rPr>
          <w:rFonts w:hint="eastAsia" w:ascii="宋体" w:hAnsi="宋体" w:cs="宋体"/>
          <w:b/>
          <w:bCs/>
          <w:color w:val="000000" w:themeColor="text1"/>
          <w:sz w:val="28"/>
          <w:szCs w:val="24"/>
          <w:highlight w:val="none"/>
          <w14:textFill>
            <w14:solidFill>
              <w14:schemeClr w14:val="tx1"/>
            </w14:solidFill>
          </w14:textFill>
        </w:rPr>
        <w:t>2.</w:t>
      </w:r>
      <w:r>
        <w:rPr>
          <w:rFonts w:ascii="宋体" w:hAnsi="宋体" w:cs="宋体"/>
          <w:b/>
          <w:bCs/>
          <w:color w:val="000000" w:themeColor="text1"/>
          <w:sz w:val="28"/>
          <w:szCs w:val="24"/>
          <w:highlight w:val="none"/>
          <w14:textFill>
            <w14:solidFill>
              <w14:schemeClr w14:val="tx1"/>
            </w14:solidFill>
          </w14:textFill>
        </w:rPr>
        <w:t>6</w:t>
      </w:r>
      <w:r>
        <w:rPr>
          <w:rFonts w:hint="eastAsia" w:ascii="宋体" w:hAnsi="宋体" w:cs="宋体"/>
          <w:b/>
          <w:bCs/>
          <w:color w:val="000000" w:themeColor="text1"/>
          <w:sz w:val="28"/>
          <w:szCs w:val="24"/>
          <w:highlight w:val="none"/>
          <w14:textFill>
            <w14:solidFill>
              <w14:schemeClr w14:val="tx1"/>
            </w14:solidFill>
          </w14:textFill>
        </w:rPr>
        <w:t xml:space="preserve"> </w:t>
      </w:r>
      <w:r>
        <w:rPr>
          <w:rFonts w:hint="eastAsia" w:ascii="宋体" w:hAnsi="宋体" w:cs="宋体"/>
          <w:color w:val="000000" w:themeColor="text1"/>
          <w:sz w:val="28"/>
          <w:szCs w:val="24"/>
          <w:highlight w:val="none"/>
          <w14:textFill>
            <w14:solidFill>
              <w14:schemeClr w14:val="tx1"/>
            </w14:solidFill>
          </w14:textFill>
        </w:rPr>
        <w:t>主要功能房间室内噪声级要求提升，噪声级达到现行国家标准</w:t>
      </w:r>
    </w:p>
    <w:p>
      <w:pPr>
        <w:spacing w:line="360" w:lineRule="auto"/>
        <w:rPr>
          <w:color w:val="000000" w:themeColor="text1"/>
          <w:sz w:val="28"/>
          <w:szCs w:val="24"/>
          <w:highlight w:val="none"/>
          <w14:textFill>
            <w14:solidFill>
              <w14:schemeClr w14:val="tx1"/>
            </w14:solidFill>
          </w14:textFill>
        </w:rPr>
      </w:pPr>
      <w:r>
        <w:rPr>
          <w:rFonts w:hint="eastAsia" w:ascii="宋体" w:hAnsi="宋体" w:cs="宋体"/>
          <w:color w:val="000000" w:themeColor="text1"/>
          <w:sz w:val="28"/>
          <w:szCs w:val="24"/>
          <w:highlight w:val="none"/>
          <w14:textFill>
            <w14:solidFill>
              <w14:schemeClr w14:val="tx1"/>
            </w14:solidFill>
          </w14:textFill>
        </w:rPr>
        <w:t>《民用建筑隔声设计规范》GB 50118 中的高要求标准限值的要求，</w:t>
      </w:r>
      <w:r>
        <w:rPr>
          <w:rFonts w:hint="eastAsia" w:ascii="宋体" w:hAnsi="宋体" w:cs="宋体"/>
          <w:b/>
          <w:color w:val="000000" w:themeColor="text1"/>
          <w:sz w:val="28"/>
          <w:szCs w:val="24"/>
          <w:highlight w:val="none"/>
          <w14:textFill>
            <w14:solidFill>
              <w14:schemeClr w14:val="tx1"/>
            </w14:solidFill>
          </w14:textFill>
        </w:rPr>
        <w:t xml:space="preserve">得 </w:t>
      </w:r>
      <w:r>
        <w:rPr>
          <w:rFonts w:ascii="宋体" w:hAnsi="宋体" w:cs="宋体"/>
          <w:b/>
          <w:color w:val="000000" w:themeColor="text1"/>
          <w:sz w:val="28"/>
          <w:szCs w:val="24"/>
          <w:highlight w:val="none"/>
          <w:lang w:val="en-US"/>
          <w14:textFill>
            <w14:solidFill>
              <w14:schemeClr w14:val="tx1"/>
            </w14:solidFill>
          </w14:textFill>
        </w:rPr>
        <w:t>8</w:t>
      </w:r>
      <w:r>
        <w:rPr>
          <w:rFonts w:hint="eastAsia" w:ascii="宋体" w:hAnsi="宋体" w:cs="宋体"/>
          <w:b/>
          <w:color w:val="000000" w:themeColor="text1"/>
          <w:sz w:val="28"/>
          <w:szCs w:val="24"/>
          <w:highlight w:val="none"/>
          <w14:textFill>
            <w14:solidFill>
              <w14:schemeClr w14:val="tx1"/>
            </w14:solidFill>
          </w14:textFill>
        </w:rPr>
        <w:t xml:space="preserve"> 分</w:t>
      </w:r>
      <w:r>
        <w:rPr>
          <w:rFonts w:hint="eastAsia" w:ascii="宋体" w:hAnsi="宋体" w:cs="宋体"/>
          <w:color w:val="000000" w:themeColor="text1"/>
          <w:sz w:val="28"/>
          <w:szCs w:val="24"/>
          <w:highlight w:val="none"/>
          <w14:textFill>
            <w14:solidFill>
              <w14:schemeClr w14:val="tx1"/>
            </w14:solidFill>
          </w14:textFill>
        </w:rPr>
        <w:t>；</w:t>
      </w:r>
    </w:p>
    <w:p>
      <w:pPr>
        <w:pStyle w:val="16"/>
        <w:spacing w:line="360" w:lineRule="auto"/>
        <w:ind w:firstLine="562"/>
        <w:rPr>
          <w:b/>
          <w:bCs/>
          <w:color w:val="000000" w:themeColor="text1"/>
          <w:sz w:val="28"/>
          <w:highlight w:val="none"/>
          <w:lang w:val="en-GB"/>
          <w14:textFill>
            <w14:solidFill>
              <w14:schemeClr w14:val="tx1"/>
            </w14:solidFill>
          </w14:textFill>
        </w:rPr>
      </w:pPr>
    </w:p>
    <w:sectPr>
      <w:headerReference r:id="rId4" w:type="first"/>
      <w:headerReference r:id="rId3"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single" w:color="auto" w:sz="4" w:space="1"/>
        <w:right w:val="none" w:color="auto" w:sz="0" w:space="4"/>
        <w:between w:val="none" w:color="auto" w:sz="0" w:space="0"/>
      </w:pBdr>
      <w:tabs>
        <w:tab w:val="center" w:pos="-1418"/>
        <w:tab w:val="clear" w:pos="4153"/>
        <w:tab w:val="clear" w:pos="8306"/>
      </w:tabs>
      <w:snapToGrid w:val="0"/>
      <w:spacing w:line="360" w:lineRule="exact"/>
      <w:ind w:right="68" w:rightChars="38"/>
      <w:jc w:val="right"/>
      <w:rPr>
        <w:rFonts w:hint="eastAsia" w:eastAsia="宋体"/>
        <w:lang w:eastAsia="zh-CN"/>
      </w:rPr>
    </w:pPr>
    <w:r>
      <w:rPr>
        <w:rFonts w:hint="eastAsia"/>
        <w:lang w:val="en-US" w:eastAsia="zh-CN"/>
      </w:rPr>
      <w:t>室内背景噪声及构件隔声计算书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276A8E"/>
    <w:multiLevelType w:val="singleLevel"/>
    <w:tmpl w:val="F3276A8E"/>
    <w:lvl w:ilvl="0" w:tentative="0">
      <w:start w:val="1"/>
      <w:numFmt w:val="decimal"/>
      <w:suff w:val="nothing"/>
      <w:lvlText w:val="%1）"/>
      <w:lvlJc w:val="left"/>
    </w:lvl>
  </w:abstractNum>
  <w:abstractNum w:abstractNumId="1">
    <w:nsid w:val="000C0B17"/>
    <w:multiLevelType w:val="multilevel"/>
    <w:tmpl w:val="000C0B17"/>
    <w:lvl w:ilvl="0" w:tentative="0">
      <w:start w:val="1"/>
      <w:numFmt w:val="decimal"/>
      <w:pStyle w:val="3"/>
      <w:lvlText w:val="%1."/>
      <w:lvlJc w:val="left"/>
      <w:pPr>
        <w:tabs>
          <w:tab w:val="left" w:pos="420"/>
        </w:tabs>
        <w:ind w:left="420" w:hanging="420"/>
      </w:pPr>
      <w:rPr>
        <w:rFonts w:hint="eastAsia"/>
      </w:rPr>
    </w:lvl>
    <w:lvl w:ilvl="1" w:tentative="0">
      <w:start w:val="1"/>
      <w:numFmt w:val="decimal"/>
      <w:pStyle w:val="5"/>
      <w:lvlText w:val="%1.%2"/>
      <w:lvlJc w:val="left"/>
      <w:pPr>
        <w:tabs>
          <w:tab w:val="left" w:pos="578"/>
        </w:tabs>
        <w:ind w:left="578" w:hanging="578"/>
      </w:pPr>
      <w:rPr>
        <w:rFonts w:hint="eastAsia"/>
        <w:lang w:val="en-US"/>
      </w:rPr>
    </w:lvl>
    <w:lvl w:ilvl="2" w:tentative="0">
      <w:start w:val="1"/>
      <w:numFmt w:val="decimal"/>
      <w:pStyle w:val="6"/>
      <w:lvlText w:val="%1.%2.%3"/>
      <w:lvlJc w:val="left"/>
      <w:pPr>
        <w:tabs>
          <w:tab w:val="left" w:pos="578"/>
        </w:tabs>
        <w:ind w:left="578" w:hanging="578"/>
      </w:pPr>
      <w:rPr>
        <w:rFonts w:hint="eastAsia" w:eastAsia="宋体"/>
        <w:sz w:val="24"/>
        <w:szCs w:val="24"/>
        <w:lang w:val="en-GB"/>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pStyle w:val="10"/>
      <w:lvlText w:val="%1.%2.%3.%4.%5.%6.%7"/>
      <w:lvlJc w:val="left"/>
      <w:pPr>
        <w:tabs>
          <w:tab w:val="left" w:pos="1296"/>
        </w:tabs>
        <w:ind w:left="1296" w:hanging="1296"/>
      </w:pPr>
      <w:rPr>
        <w:rFonts w:hint="eastAsia"/>
      </w:rPr>
    </w:lvl>
    <w:lvl w:ilvl="7" w:tentative="0">
      <w:start w:val="1"/>
      <w:numFmt w:val="decimal"/>
      <w:pStyle w:val="11"/>
      <w:lvlText w:val="%1.%2.%3.%4.%5.%6.%7.%8"/>
      <w:lvlJc w:val="left"/>
      <w:pPr>
        <w:tabs>
          <w:tab w:val="left" w:pos="1440"/>
        </w:tabs>
        <w:ind w:left="1440" w:hanging="1440"/>
      </w:pPr>
      <w:rPr>
        <w:rFonts w:hint="eastAsia"/>
      </w:rPr>
    </w:lvl>
    <w:lvl w:ilvl="8" w:tentative="0">
      <w:start w:val="1"/>
      <w:numFmt w:val="decimal"/>
      <w:pStyle w:val="12"/>
      <w:lvlText w:val="%1.%2.%3.%4.%5.%6.%7.%8.%9"/>
      <w:lvlJc w:val="left"/>
      <w:pPr>
        <w:tabs>
          <w:tab w:val="left" w:pos="1584"/>
        </w:tabs>
        <w:ind w:left="1584" w:hanging="1584"/>
      </w:pPr>
      <w:rPr>
        <w:rFonts w:hint="eastAsia"/>
      </w:rPr>
    </w:lvl>
  </w:abstractNum>
  <w:abstractNum w:abstractNumId="2">
    <w:nsid w:val="3A4E6511"/>
    <w:multiLevelType w:val="singleLevel"/>
    <w:tmpl w:val="3A4E6511"/>
    <w:lvl w:ilvl="0" w:tentative="0">
      <w:start w:val="1"/>
      <w:numFmt w:val="lowerLetter"/>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08F"/>
    <w:rsid w:val="00022F54"/>
    <w:rsid w:val="00022FE4"/>
    <w:rsid w:val="0003015C"/>
    <w:rsid w:val="00035337"/>
    <w:rsid w:val="00037A4C"/>
    <w:rsid w:val="000431C3"/>
    <w:rsid w:val="00045796"/>
    <w:rsid w:val="00047BEF"/>
    <w:rsid w:val="00047D27"/>
    <w:rsid w:val="00060BD8"/>
    <w:rsid w:val="000631B3"/>
    <w:rsid w:val="0006507C"/>
    <w:rsid w:val="0006695B"/>
    <w:rsid w:val="00070454"/>
    <w:rsid w:val="000725A9"/>
    <w:rsid w:val="000739BB"/>
    <w:rsid w:val="00073D32"/>
    <w:rsid w:val="00073E94"/>
    <w:rsid w:val="00075C7F"/>
    <w:rsid w:val="0007642D"/>
    <w:rsid w:val="000805DC"/>
    <w:rsid w:val="00083664"/>
    <w:rsid w:val="00083FC5"/>
    <w:rsid w:val="00090C82"/>
    <w:rsid w:val="000926EC"/>
    <w:rsid w:val="00094B16"/>
    <w:rsid w:val="0009672C"/>
    <w:rsid w:val="000A6EC1"/>
    <w:rsid w:val="000A6F76"/>
    <w:rsid w:val="000A7482"/>
    <w:rsid w:val="000B2B33"/>
    <w:rsid w:val="000B51D1"/>
    <w:rsid w:val="000B7505"/>
    <w:rsid w:val="000B762E"/>
    <w:rsid w:val="000C09A6"/>
    <w:rsid w:val="000C2578"/>
    <w:rsid w:val="000C731C"/>
    <w:rsid w:val="000C735A"/>
    <w:rsid w:val="000D0ED5"/>
    <w:rsid w:val="000D17C2"/>
    <w:rsid w:val="000D1936"/>
    <w:rsid w:val="000D407B"/>
    <w:rsid w:val="000E3005"/>
    <w:rsid w:val="000F1573"/>
    <w:rsid w:val="000F48FD"/>
    <w:rsid w:val="000F7EF2"/>
    <w:rsid w:val="000F7FEF"/>
    <w:rsid w:val="00101764"/>
    <w:rsid w:val="0010266A"/>
    <w:rsid w:val="001037D7"/>
    <w:rsid w:val="00105DF2"/>
    <w:rsid w:val="001104AC"/>
    <w:rsid w:val="00110A51"/>
    <w:rsid w:val="00111340"/>
    <w:rsid w:val="00112680"/>
    <w:rsid w:val="001141E2"/>
    <w:rsid w:val="0011425A"/>
    <w:rsid w:val="001146C5"/>
    <w:rsid w:val="00116D30"/>
    <w:rsid w:val="00117919"/>
    <w:rsid w:val="00122AE1"/>
    <w:rsid w:val="001247B9"/>
    <w:rsid w:val="00127393"/>
    <w:rsid w:val="00136510"/>
    <w:rsid w:val="00141170"/>
    <w:rsid w:val="001419DE"/>
    <w:rsid w:val="00145FA8"/>
    <w:rsid w:val="001463F5"/>
    <w:rsid w:val="0014776A"/>
    <w:rsid w:val="00150077"/>
    <w:rsid w:val="001511F2"/>
    <w:rsid w:val="00152AD1"/>
    <w:rsid w:val="00153ECB"/>
    <w:rsid w:val="001549CD"/>
    <w:rsid w:val="00170E95"/>
    <w:rsid w:val="0017134B"/>
    <w:rsid w:val="00180509"/>
    <w:rsid w:val="00180537"/>
    <w:rsid w:val="001811B7"/>
    <w:rsid w:val="00191705"/>
    <w:rsid w:val="00195963"/>
    <w:rsid w:val="001A192D"/>
    <w:rsid w:val="001A213A"/>
    <w:rsid w:val="001A3588"/>
    <w:rsid w:val="001A3A15"/>
    <w:rsid w:val="001A4ACE"/>
    <w:rsid w:val="001A51B5"/>
    <w:rsid w:val="001B0B30"/>
    <w:rsid w:val="001B6E89"/>
    <w:rsid w:val="001C7D6A"/>
    <w:rsid w:val="001D7C6B"/>
    <w:rsid w:val="001E049F"/>
    <w:rsid w:val="001E157B"/>
    <w:rsid w:val="001E32B4"/>
    <w:rsid w:val="001E5172"/>
    <w:rsid w:val="00201BD9"/>
    <w:rsid w:val="00202A21"/>
    <w:rsid w:val="002038AE"/>
    <w:rsid w:val="002039A4"/>
    <w:rsid w:val="00203A7D"/>
    <w:rsid w:val="00204D80"/>
    <w:rsid w:val="00204DCA"/>
    <w:rsid w:val="002126D4"/>
    <w:rsid w:val="0021391C"/>
    <w:rsid w:val="0022062D"/>
    <w:rsid w:val="002229C1"/>
    <w:rsid w:val="002236B3"/>
    <w:rsid w:val="00224948"/>
    <w:rsid w:val="002273F3"/>
    <w:rsid w:val="00232B5E"/>
    <w:rsid w:val="00241D4E"/>
    <w:rsid w:val="00244792"/>
    <w:rsid w:val="0025362B"/>
    <w:rsid w:val="002555B8"/>
    <w:rsid w:val="00266C91"/>
    <w:rsid w:val="0027073D"/>
    <w:rsid w:val="0027523A"/>
    <w:rsid w:val="00283BF0"/>
    <w:rsid w:val="002851FD"/>
    <w:rsid w:val="002933AC"/>
    <w:rsid w:val="00294F67"/>
    <w:rsid w:val="00294F7E"/>
    <w:rsid w:val="002A2F2E"/>
    <w:rsid w:val="002A7369"/>
    <w:rsid w:val="002A79FB"/>
    <w:rsid w:val="002B2590"/>
    <w:rsid w:val="002B7899"/>
    <w:rsid w:val="002C17A2"/>
    <w:rsid w:val="002C2F77"/>
    <w:rsid w:val="002C62E3"/>
    <w:rsid w:val="002D2BBC"/>
    <w:rsid w:val="002E5393"/>
    <w:rsid w:val="002E574B"/>
    <w:rsid w:val="002E5A01"/>
    <w:rsid w:val="002E6C8A"/>
    <w:rsid w:val="002E7C19"/>
    <w:rsid w:val="0030437C"/>
    <w:rsid w:val="003113F4"/>
    <w:rsid w:val="003121F7"/>
    <w:rsid w:val="003123FB"/>
    <w:rsid w:val="00312B73"/>
    <w:rsid w:val="00314D29"/>
    <w:rsid w:val="00317C52"/>
    <w:rsid w:val="0032366D"/>
    <w:rsid w:val="00326E0C"/>
    <w:rsid w:val="00327F14"/>
    <w:rsid w:val="00330BA7"/>
    <w:rsid w:val="0033176E"/>
    <w:rsid w:val="00332086"/>
    <w:rsid w:val="00340EEC"/>
    <w:rsid w:val="00350752"/>
    <w:rsid w:val="003537C0"/>
    <w:rsid w:val="0035421F"/>
    <w:rsid w:val="00355840"/>
    <w:rsid w:val="00356224"/>
    <w:rsid w:val="00356526"/>
    <w:rsid w:val="003569A9"/>
    <w:rsid w:val="0036330B"/>
    <w:rsid w:val="003642AC"/>
    <w:rsid w:val="00370E69"/>
    <w:rsid w:val="00370EA4"/>
    <w:rsid w:val="00374533"/>
    <w:rsid w:val="00380AAF"/>
    <w:rsid w:val="0038265F"/>
    <w:rsid w:val="00390296"/>
    <w:rsid w:val="00391613"/>
    <w:rsid w:val="00393106"/>
    <w:rsid w:val="00395D94"/>
    <w:rsid w:val="003964EA"/>
    <w:rsid w:val="003A2B52"/>
    <w:rsid w:val="003A2CE1"/>
    <w:rsid w:val="003A3E76"/>
    <w:rsid w:val="003A5353"/>
    <w:rsid w:val="003B1331"/>
    <w:rsid w:val="003B57E7"/>
    <w:rsid w:val="003B60C7"/>
    <w:rsid w:val="003C056D"/>
    <w:rsid w:val="003C28C1"/>
    <w:rsid w:val="003C4EA8"/>
    <w:rsid w:val="003C5FD5"/>
    <w:rsid w:val="003C61FC"/>
    <w:rsid w:val="003D0076"/>
    <w:rsid w:val="003D11B4"/>
    <w:rsid w:val="003D1FC7"/>
    <w:rsid w:val="003D5C64"/>
    <w:rsid w:val="003E5087"/>
    <w:rsid w:val="003F27D2"/>
    <w:rsid w:val="003F60B9"/>
    <w:rsid w:val="003F66A9"/>
    <w:rsid w:val="003F7821"/>
    <w:rsid w:val="00400053"/>
    <w:rsid w:val="004026C2"/>
    <w:rsid w:val="00405B5F"/>
    <w:rsid w:val="0040698B"/>
    <w:rsid w:val="00406B01"/>
    <w:rsid w:val="00413082"/>
    <w:rsid w:val="0041370F"/>
    <w:rsid w:val="004140D8"/>
    <w:rsid w:val="00420487"/>
    <w:rsid w:val="00420DBF"/>
    <w:rsid w:val="004217EB"/>
    <w:rsid w:val="0042654D"/>
    <w:rsid w:val="00426C2B"/>
    <w:rsid w:val="0043026A"/>
    <w:rsid w:val="00430DCC"/>
    <w:rsid w:val="004315D3"/>
    <w:rsid w:val="00431AD1"/>
    <w:rsid w:val="00431EBD"/>
    <w:rsid w:val="00432639"/>
    <w:rsid w:val="00433D62"/>
    <w:rsid w:val="0044029A"/>
    <w:rsid w:val="00443779"/>
    <w:rsid w:val="00443A24"/>
    <w:rsid w:val="00444C49"/>
    <w:rsid w:val="00455D17"/>
    <w:rsid w:val="004732C6"/>
    <w:rsid w:val="0047512A"/>
    <w:rsid w:val="004839C8"/>
    <w:rsid w:val="00486B69"/>
    <w:rsid w:val="00486F6E"/>
    <w:rsid w:val="004A008B"/>
    <w:rsid w:val="004A03C1"/>
    <w:rsid w:val="004A15EE"/>
    <w:rsid w:val="004A39D3"/>
    <w:rsid w:val="004A5301"/>
    <w:rsid w:val="004D230F"/>
    <w:rsid w:val="004D239D"/>
    <w:rsid w:val="004D449D"/>
    <w:rsid w:val="004D4831"/>
    <w:rsid w:val="004D7655"/>
    <w:rsid w:val="004E271C"/>
    <w:rsid w:val="004E5DEA"/>
    <w:rsid w:val="004F0B9C"/>
    <w:rsid w:val="004F181A"/>
    <w:rsid w:val="004F2B43"/>
    <w:rsid w:val="004F7F5B"/>
    <w:rsid w:val="00502AB7"/>
    <w:rsid w:val="00504F54"/>
    <w:rsid w:val="005051EB"/>
    <w:rsid w:val="00506FA3"/>
    <w:rsid w:val="00507065"/>
    <w:rsid w:val="0051542F"/>
    <w:rsid w:val="0051646C"/>
    <w:rsid w:val="00521487"/>
    <w:rsid w:val="005215FB"/>
    <w:rsid w:val="00521623"/>
    <w:rsid w:val="0052784E"/>
    <w:rsid w:val="005300C0"/>
    <w:rsid w:val="00531BC0"/>
    <w:rsid w:val="00540B17"/>
    <w:rsid w:val="0054304B"/>
    <w:rsid w:val="005430C1"/>
    <w:rsid w:val="00543726"/>
    <w:rsid w:val="005449BD"/>
    <w:rsid w:val="00547052"/>
    <w:rsid w:val="005504B7"/>
    <w:rsid w:val="005530CE"/>
    <w:rsid w:val="0055385A"/>
    <w:rsid w:val="00553946"/>
    <w:rsid w:val="00555634"/>
    <w:rsid w:val="00555EF2"/>
    <w:rsid w:val="00556D80"/>
    <w:rsid w:val="00560CD5"/>
    <w:rsid w:val="00562B4A"/>
    <w:rsid w:val="00567DFC"/>
    <w:rsid w:val="00570A92"/>
    <w:rsid w:val="0057293E"/>
    <w:rsid w:val="005755BA"/>
    <w:rsid w:val="00580675"/>
    <w:rsid w:val="00580CDE"/>
    <w:rsid w:val="005844A2"/>
    <w:rsid w:val="00591D7B"/>
    <w:rsid w:val="005927FC"/>
    <w:rsid w:val="00594914"/>
    <w:rsid w:val="00595E32"/>
    <w:rsid w:val="00596B0D"/>
    <w:rsid w:val="005A0064"/>
    <w:rsid w:val="005B0295"/>
    <w:rsid w:val="005B2863"/>
    <w:rsid w:val="005B290E"/>
    <w:rsid w:val="005B370C"/>
    <w:rsid w:val="005C1293"/>
    <w:rsid w:val="005C5E53"/>
    <w:rsid w:val="005D14F5"/>
    <w:rsid w:val="005D6617"/>
    <w:rsid w:val="005E361B"/>
    <w:rsid w:val="005E4A1B"/>
    <w:rsid w:val="005E5442"/>
    <w:rsid w:val="005E5D67"/>
    <w:rsid w:val="005E6722"/>
    <w:rsid w:val="005E6DB2"/>
    <w:rsid w:val="005F26FC"/>
    <w:rsid w:val="005F5BA5"/>
    <w:rsid w:val="005F6F6C"/>
    <w:rsid w:val="005F76EF"/>
    <w:rsid w:val="0060118D"/>
    <w:rsid w:val="00603505"/>
    <w:rsid w:val="00603BD9"/>
    <w:rsid w:val="00604652"/>
    <w:rsid w:val="0061137B"/>
    <w:rsid w:val="00611A83"/>
    <w:rsid w:val="006142C8"/>
    <w:rsid w:val="0061684A"/>
    <w:rsid w:val="00616D08"/>
    <w:rsid w:val="00617087"/>
    <w:rsid w:val="006170E1"/>
    <w:rsid w:val="0062034E"/>
    <w:rsid w:val="0062232E"/>
    <w:rsid w:val="006240DC"/>
    <w:rsid w:val="00631B3B"/>
    <w:rsid w:val="00635A02"/>
    <w:rsid w:val="00652934"/>
    <w:rsid w:val="00653017"/>
    <w:rsid w:val="006544F4"/>
    <w:rsid w:val="006677F4"/>
    <w:rsid w:val="00670B60"/>
    <w:rsid w:val="00671FB4"/>
    <w:rsid w:val="00676BC4"/>
    <w:rsid w:val="00681C5E"/>
    <w:rsid w:val="0068497A"/>
    <w:rsid w:val="00691729"/>
    <w:rsid w:val="00694FCA"/>
    <w:rsid w:val="0069600F"/>
    <w:rsid w:val="00696156"/>
    <w:rsid w:val="006B628D"/>
    <w:rsid w:val="006C2054"/>
    <w:rsid w:val="006C31C0"/>
    <w:rsid w:val="006C4730"/>
    <w:rsid w:val="006C6D88"/>
    <w:rsid w:val="006C7A9F"/>
    <w:rsid w:val="006D01A7"/>
    <w:rsid w:val="006D0532"/>
    <w:rsid w:val="006E2DB9"/>
    <w:rsid w:val="006E4DC9"/>
    <w:rsid w:val="006F1E82"/>
    <w:rsid w:val="006F480A"/>
    <w:rsid w:val="006F6958"/>
    <w:rsid w:val="0070016E"/>
    <w:rsid w:val="00700961"/>
    <w:rsid w:val="0070292B"/>
    <w:rsid w:val="00704059"/>
    <w:rsid w:val="00716A3A"/>
    <w:rsid w:val="00716F6D"/>
    <w:rsid w:val="00720044"/>
    <w:rsid w:val="007208AD"/>
    <w:rsid w:val="00720CD9"/>
    <w:rsid w:val="00721B34"/>
    <w:rsid w:val="00722CF6"/>
    <w:rsid w:val="007250A6"/>
    <w:rsid w:val="00731CB0"/>
    <w:rsid w:val="0074389B"/>
    <w:rsid w:val="0075470D"/>
    <w:rsid w:val="00760461"/>
    <w:rsid w:val="0076205C"/>
    <w:rsid w:val="0078389D"/>
    <w:rsid w:val="00784B44"/>
    <w:rsid w:val="007859D0"/>
    <w:rsid w:val="007A1FA9"/>
    <w:rsid w:val="007A2481"/>
    <w:rsid w:val="007A2817"/>
    <w:rsid w:val="007A7DF0"/>
    <w:rsid w:val="007B3C9F"/>
    <w:rsid w:val="007B7859"/>
    <w:rsid w:val="007C0D61"/>
    <w:rsid w:val="007C324F"/>
    <w:rsid w:val="007D0E14"/>
    <w:rsid w:val="007D2688"/>
    <w:rsid w:val="007D3A65"/>
    <w:rsid w:val="007D56DE"/>
    <w:rsid w:val="007E0DA0"/>
    <w:rsid w:val="007E39A8"/>
    <w:rsid w:val="007E3D1F"/>
    <w:rsid w:val="007F09EA"/>
    <w:rsid w:val="00800F96"/>
    <w:rsid w:val="00801632"/>
    <w:rsid w:val="00802128"/>
    <w:rsid w:val="008060C3"/>
    <w:rsid w:val="00806523"/>
    <w:rsid w:val="00810B33"/>
    <w:rsid w:val="008131CE"/>
    <w:rsid w:val="00815480"/>
    <w:rsid w:val="00816221"/>
    <w:rsid w:val="00817A0F"/>
    <w:rsid w:val="0083639A"/>
    <w:rsid w:val="00837670"/>
    <w:rsid w:val="00840D90"/>
    <w:rsid w:val="008439F8"/>
    <w:rsid w:val="00850136"/>
    <w:rsid w:val="00860C70"/>
    <w:rsid w:val="008611EA"/>
    <w:rsid w:val="008704AB"/>
    <w:rsid w:val="00871FC0"/>
    <w:rsid w:val="0087441B"/>
    <w:rsid w:val="00874A7B"/>
    <w:rsid w:val="00883D6C"/>
    <w:rsid w:val="00886324"/>
    <w:rsid w:val="00892594"/>
    <w:rsid w:val="008975F8"/>
    <w:rsid w:val="008A1241"/>
    <w:rsid w:val="008A1672"/>
    <w:rsid w:val="008A54A0"/>
    <w:rsid w:val="008A6504"/>
    <w:rsid w:val="008B0CA0"/>
    <w:rsid w:val="008B15FA"/>
    <w:rsid w:val="008C1297"/>
    <w:rsid w:val="008C66D5"/>
    <w:rsid w:val="008D31F9"/>
    <w:rsid w:val="008D35DA"/>
    <w:rsid w:val="008D4BEC"/>
    <w:rsid w:val="008D7168"/>
    <w:rsid w:val="008E2AB2"/>
    <w:rsid w:val="008F0010"/>
    <w:rsid w:val="008F5BF5"/>
    <w:rsid w:val="0090340B"/>
    <w:rsid w:val="00905F94"/>
    <w:rsid w:val="009168C0"/>
    <w:rsid w:val="00916F84"/>
    <w:rsid w:val="00925FCF"/>
    <w:rsid w:val="009363FF"/>
    <w:rsid w:val="00943074"/>
    <w:rsid w:val="0095000A"/>
    <w:rsid w:val="009507F9"/>
    <w:rsid w:val="0095123C"/>
    <w:rsid w:val="00952779"/>
    <w:rsid w:val="0095325A"/>
    <w:rsid w:val="0096074B"/>
    <w:rsid w:val="00962F80"/>
    <w:rsid w:val="00965A34"/>
    <w:rsid w:val="00967CC9"/>
    <w:rsid w:val="00973452"/>
    <w:rsid w:val="00975F79"/>
    <w:rsid w:val="0098285F"/>
    <w:rsid w:val="0098418E"/>
    <w:rsid w:val="00990F63"/>
    <w:rsid w:val="00991801"/>
    <w:rsid w:val="00993CF2"/>
    <w:rsid w:val="00997A7C"/>
    <w:rsid w:val="009A15B5"/>
    <w:rsid w:val="009A4F1E"/>
    <w:rsid w:val="009A6B0F"/>
    <w:rsid w:val="009B0122"/>
    <w:rsid w:val="009B0C40"/>
    <w:rsid w:val="009C36BC"/>
    <w:rsid w:val="009C4AE6"/>
    <w:rsid w:val="009D4733"/>
    <w:rsid w:val="009D5AAC"/>
    <w:rsid w:val="009E6B81"/>
    <w:rsid w:val="009F5016"/>
    <w:rsid w:val="009F5A35"/>
    <w:rsid w:val="009F6BB4"/>
    <w:rsid w:val="009F7C95"/>
    <w:rsid w:val="00A0525F"/>
    <w:rsid w:val="00A12783"/>
    <w:rsid w:val="00A177A6"/>
    <w:rsid w:val="00A32590"/>
    <w:rsid w:val="00A355BD"/>
    <w:rsid w:val="00A357F7"/>
    <w:rsid w:val="00A4299E"/>
    <w:rsid w:val="00A47443"/>
    <w:rsid w:val="00A47585"/>
    <w:rsid w:val="00A57E38"/>
    <w:rsid w:val="00A60B63"/>
    <w:rsid w:val="00A6268D"/>
    <w:rsid w:val="00A73DF3"/>
    <w:rsid w:val="00A86476"/>
    <w:rsid w:val="00A90BB1"/>
    <w:rsid w:val="00A920E8"/>
    <w:rsid w:val="00A92636"/>
    <w:rsid w:val="00A95E06"/>
    <w:rsid w:val="00A972F1"/>
    <w:rsid w:val="00AA1B8A"/>
    <w:rsid w:val="00AA34A2"/>
    <w:rsid w:val="00AA47FE"/>
    <w:rsid w:val="00AA7D07"/>
    <w:rsid w:val="00AB1AE2"/>
    <w:rsid w:val="00AB5182"/>
    <w:rsid w:val="00AB5572"/>
    <w:rsid w:val="00AC208F"/>
    <w:rsid w:val="00AC49B4"/>
    <w:rsid w:val="00AD0888"/>
    <w:rsid w:val="00AE206F"/>
    <w:rsid w:val="00AF050E"/>
    <w:rsid w:val="00AF0542"/>
    <w:rsid w:val="00AF06AD"/>
    <w:rsid w:val="00AF48DE"/>
    <w:rsid w:val="00B00FFB"/>
    <w:rsid w:val="00B102DE"/>
    <w:rsid w:val="00B11FD8"/>
    <w:rsid w:val="00B202FF"/>
    <w:rsid w:val="00B3131F"/>
    <w:rsid w:val="00B364B6"/>
    <w:rsid w:val="00B41640"/>
    <w:rsid w:val="00B45057"/>
    <w:rsid w:val="00B50785"/>
    <w:rsid w:val="00B55B22"/>
    <w:rsid w:val="00B60841"/>
    <w:rsid w:val="00B623AD"/>
    <w:rsid w:val="00B62EF2"/>
    <w:rsid w:val="00B70998"/>
    <w:rsid w:val="00B774E4"/>
    <w:rsid w:val="00B86B1C"/>
    <w:rsid w:val="00B92F33"/>
    <w:rsid w:val="00B950DF"/>
    <w:rsid w:val="00BA3782"/>
    <w:rsid w:val="00BA4C10"/>
    <w:rsid w:val="00BB3B23"/>
    <w:rsid w:val="00BB64F7"/>
    <w:rsid w:val="00BB6589"/>
    <w:rsid w:val="00BC7C0E"/>
    <w:rsid w:val="00BD41E9"/>
    <w:rsid w:val="00BD47A9"/>
    <w:rsid w:val="00BD7DD2"/>
    <w:rsid w:val="00BE118E"/>
    <w:rsid w:val="00BE18AD"/>
    <w:rsid w:val="00BE4583"/>
    <w:rsid w:val="00BF1958"/>
    <w:rsid w:val="00BF5975"/>
    <w:rsid w:val="00C02ABE"/>
    <w:rsid w:val="00C127CA"/>
    <w:rsid w:val="00C12F41"/>
    <w:rsid w:val="00C15244"/>
    <w:rsid w:val="00C257AB"/>
    <w:rsid w:val="00C27BDB"/>
    <w:rsid w:val="00C3168B"/>
    <w:rsid w:val="00C31D17"/>
    <w:rsid w:val="00C33D67"/>
    <w:rsid w:val="00C3614F"/>
    <w:rsid w:val="00C37F41"/>
    <w:rsid w:val="00C44808"/>
    <w:rsid w:val="00C45C1D"/>
    <w:rsid w:val="00C509AD"/>
    <w:rsid w:val="00C52CCB"/>
    <w:rsid w:val="00C56EF0"/>
    <w:rsid w:val="00C60B76"/>
    <w:rsid w:val="00C63237"/>
    <w:rsid w:val="00C661C3"/>
    <w:rsid w:val="00C67778"/>
    <w:rsid w:val="00C677CE"/>
    <w:rsid w:val="00C72CFF"/>
    <w:rsid w:val="00C8032E"/>
    <w:rsid w:val="00C832CC"/>
    <w:rsid w:val="00C851CF"/>
    <w:rsid w:val="00C85350"/>
    <w:rsid w:val="00C855E5"/>
    <w:rsid w:val="00C95C03"/>
    <w:rsid w:val="00C9765F"/>
    <w:rsid w:val="00C97E25"/>
    <w:rsid w:val="00CA7AE3"/>
    <w:rsid w:val="00CB3702"/>
    <w:rsid w:val="00CB49CC"/>
    <w:rsid w:val="00CB6248"/>
    <w:rsid w:val="00CC1793"/>
    <w:rsid w:val="00CC196B"/>
    <w:rsid w:val="00CC6133"/>
    <w:rsid w:val="00CC74BC"/>
    <w:rsid w:val="00CD01C9"/>
    <w:rsid w:val="00CD4869"/>
    <w:rsid w:val="00CD5D78"/>
    <w:rsid w:val="00CD5F63"/>
    <w:rsid w:val="00CE28AA"/>
    <w:rsid w:val="00CF1874"/>
    <w:rsid w:val="00CF25FF"/>
    <w:rsid w:val="00CF6917"/>
    <w:rsid w:val="00D02D59"/>
    <w:rsid w:val="00D02FD6"/>
    <w:rsid w:val="00D05B0B"/>
    <w:rsid w:val="00D062D7"/>
    <w:rsid w:val="00D06954"/>
    <w:rsid w:val="00D11441"/>
    <w:rsid w:val="00D11DAD"/>
    <w:rsid w:val="00D264C0"/>
    <w:rsid w:val="00D30EC5"/>
    <w:rsid w:val="00D31E80"/>
    <w:rsid w:val="00D36619"/>
    <w:rsid w:val="00D40158"/>
    <w:rsid w:val="00D42291"/>
    <w:rsid w:val="00D43C46"/>
    <w:rsid w:val="00D60976"/>
    <w:rsid w:val="00D62634"/>
    <w:rsid w:val="00D62A9A"/>
    <w:rsid w:val="00D65949"/>
    <w:rsid w:val="00D73139"/>
    <w:rsid w:val="00D74281"/>
    <w:rsid w:val="00D80C28"/>
    <w:rsid w:val="00D81BC0"/>
    <w:rsid w:val="00D83E5D"/>
    <w:rsid w:val="00D85296"/>
    <w:rsid w:val="00D85A78"/>
    <w:rsid w:val="00D90009"/>
    <w:rsid w:val="00D91945"/>
    <w:rsid w:val="00D928BE"/>
    <w:rsid w:val="00D92E0A"/>
    <w:rsid w:val="00D967FF"/>
    <w:rsid w:val="00DA543D"/>
    <w:rsid w:val="00DA6028"/>
    <w:rsid w:val="00DB1F7E"/>
    <w:rsid w:val="00DB29C3"/>
    <w:rsid w:val="00DC08B7"/>
    <w:rsid w:val="00DC73AD"/>
    <w:rsid w:val="00DD33B1"/>
    <w:rsid w:val="00DD3C92"/>
    <w:rsid w:val="00DD56FC"/>
    <w:rsid w:val="00DE15EB"/>
    <w:rsid w:val="00DE39CD"/>
    <w:rsid w:val="00DE48D2"/>
    <w:rsid w:val="00DE5DAC"/>
    <w:rsid w:val="00DE7EA5"/>
    <w:rsid w:val="00DF470C"/>
    <w:rsid w:val="00DF7D67"/>
    <w:rsid w:val="00E048B2"/>
    <w:rsid w:val="00E04BB6"/>
    <w:rsid w:val="00E06368"/>
    <w:rsid w:val="00E068C9"/>
    <w:rsid w:val="00E12326"/>
    <w:rsid w:val="00E125AE"/>
    <w:rsid w:val="00E12AD1"/>
    <w:rsid w:val="00E17240"/>
    <w:rsid w:val="00E17F17"/>
    <w:rsid w:val="00E200C4"/>
    <w:rsid w:val="00E22381"/>
    <w:rsid w:val="00E23D22"/>
    <w:rsid w:val="00E278C1"/>
    <w:rsid w:val="00E3330B"/>
    <w:rsid w:val="00E341D6"/>
    <w:rsid w:val="00E34789"/>
    <w:rsid w:val="00E3796F"/>
    <w:rsid w:val="00E50FE4"/>
    <w:rsid w:val="00E55FF6"/>
    <w:rsid w:val="00E612BA"/>
    <w:rsid w:val="00E67432"/>
    <w:rsid w:val="00E75360"/>
    <w:rsid w:val="00E7625B"/>
    <w:rsid w:val="00E7685A"/>
    <w:rsid w:val="00E81ACD"/>
    <w:rsid w:val="00E83147"/>
    <w:rsid w:val="00E93153"/>
    <w:rsid w:val="00E950A3"/>
    <w:rsid w:val="00EA1413"/>
    <w:rsid w:val="00EA30AE"/>
    <w:rsid w:val="00EA3B9D"/>
    <w:rsid w:val="00EA3E1A"/>
    <w:rsid w:val="00EA55E7"/>
    <w:rsid w:val="00EB06BD"/>
    <w:rsid w:val="00EB160E"/>
    <w:rsid w:val="00EB2565"/>
    <w:rsid w:val="00EB27DC"/>
    <w:rsid w:val="00EB450B"/>
    <w:rsid w:val="00EB634A"/>
    <w:rsid w:val="00EB65C7"/>
    <w:rsid w:val="00EB7DB3"/>
    <w:rsid w:val="00EC1100"/>
    <w:rsid w:val="00EC17A5"/>
    <w:rsid w:val="00ED17E6"/>
    <w:rsid w:val="00ED3962"/>
    <w:rsid w:val="00ED5D36"/>
    <w:rsid w:val="00ED5F4E"/>
    <w:rsid w:val="00EE0F57"/>
    <w:rsid w:val="00EE1318"/>
    <w:rsid w:val="00EE1D68"/>
    <w:rsid w:val="00EF1307"/>
    <w:rsid w:val="00EF469A"/>
    <w:rsid w:val="00EF5D54"/>
    <w:rsid w:val="00F0025B"/>
    <w:rsid w:val="00F0686F"/>
    <w:rsid w:val="00F11B75"/>
    <w:rsid w:val="00F14F02"/>
    <w:rsid w:val="00F15E1F"/>
    <w:rsid w:val="00F20C9F"/>
    <w:rsid w:val="00F26211"/>
    <w:rsid w:val="00F27AD2"/>
    <w:rsid w:val="00F32066"/>
    <w:rsid w:val="00F33F24"/>
    <w:rsid w:val="00F36433"/>
    <w:rsid w:val="00F4109F"/>
    <w:rsid w:val="00F41E78"/>
    <w:rsid w:val="00F4218E"/>
    <w:rsid w:val="00F42DDB"/>
    <w:rsid w:val="00F51600"/>
    <w:rsid w:val="00F5218A"/>
    <w:rsid w:val="00F54AF7"/>
    <w:rsid w:val="00F6461B"/>
    <w:rsid w:val="00F6582C"/>
    <w:rsid w:val="00F66DC8"/>
    <w:rsid w:val="00F712ED"/>
    <w:rsid w:val="00F75DD1"/>
    <w:rsid w:val="00F82D7F"/>
    <w:rsid w:val="00F86417"/>
    <w:rsid w:val="00F879AD"/>
    <w:rsid w:val="00F9138A"/>
    <w:rsid w:val="00F92266"/>
    <w:rsid w:val="00F959AF"/>
    <w:rsid w:val="00F972A6"/>
    <w:rsid w:val="00FA0F8E"/>
    <w:rsid w:val="00FA4B87"/>
    <w:rsid w:val="00FB0817"/>
    <w:rsid w:val="00FB084F"/>
    <w:rsid w:val="00FB1375"/>
    <w:rsid w:val="00FB688E"/>
    <w:rsid w:val="00FC5270"/>
    <w:rsid w:val="00FC602E"/>
    <w:rsid w:val="00FC69D3"/>
    <w:rsid w:val="00FC7BC5"/>
    <w:rsid w:val="00FD0B45"/>
    <w:rsid w:val="00FD0EF2"/>
    <w:rsid w:val="00FD1302"/>
    <w:rsid w:val="00FD19BB"/>
    <w:rsid w:val="00FD44EE"/>
    <w:rsid w:val="00FD6383"/>
    <w:rsid w:val="00FE749C"/>
    <w:rsid w:val="00FF14DB"/>
    <w:rsid w:val="00FF2243"/>
    <w:rsid w:val="0267144F"/>
    <w:rsid w:val="02781DE9"/>
    <w:rsid w:val="03406EE3"/>
    <w:rsid w:val="04C5770C"/>
    <w:rsid w:val="07CB6DBB"/>
    <w:rsid w:val="08325CC7"/>
    <w:rsid w:val="09330687"/>
    <w:rsid w:val="099F0E33"/>
    <w:rsid w:val="0ABA6DCD"/>
    <w:rsid w:val="0ADF599A"/>
    <w:rsid w:val="0BC302EE"/>
    <w:rsid w:val="0E171621"/>
    <w:rsid w:val="108327E3"/>
    <w:rsid w:val="135A0CE7"/>
    <w:rsid w:val="14FC0048"/>
    <w:rsid w:val="170A17EA"/>
    <w:rsid w:val="17AD74FF"/>
    <w:rsid w:val="17B168A0"/>
    <w:rsid w:val="17D3615C"/>
    <w:rsid w:val="18EB375A"/>
    <w:rsid w:val="19210A8A"/>
    <w:rsid w:val="1A56536D"/>
    <w:rsid w:val="1C2459F5"/>
    <w:rsid w:val="1CE11D4E"/>
    <w:rsid w:val="1EA87406"/>
    <w:rsid w:val="1F2A2A67"/>
    <w:rsid w:val="1F820927"/>
    <w:rsid w:val="20E707C1"/>
    <w:rsid w:val="24573941"/>
    <w:rsid w:val="24A117A8"/>
    <w:rsid w:val="27107FEB"/>
    <w:rsid w:val="2D8F5CA0"/>
    <w:rsid w:val="2DB73F93"/>
    <w:rsid w:val="36226D87"/>
    <w:rsid w:val="364819CA"/>
    <w:rsid w:val="375D225D"/>
    <w:rsid w:val="37E62A09"/>
    <w:rsid w:val="3C934A73"/>
    <w:rsid w:val="40DC2986"/>
    <w:rsid w:val="41385E30"/>
    <w:rsid w:val="41FD062C"/>
    <w:rsid w:val="422E0FEE"/>
    <w:rsid w:val="488F4903"/>
    <w:rsid w:val="4943106F"/>
    <w:rsid w:val="4BB935DB"/>
    <w:rsid w:val="4D621761"/>
    <w:rsid w:val="4D844DD2"/>
    <w:rsid w:val="504D49BC"/>
    <w:rsid w:val="52D734EF"/>
    <w:rsid w:val="55646954"/>
    <w:rsid w:val="55805A7F"/>
    <w:rsid w:val="569974FF"/>
    <w:rsid w:val="56E35987"/>
    <w:rsid w:val="571E67DC"/>
    <w:rsid w:val="5BC77D26"/>
    <w:rsid w:val="5E6C628F"/>
    <w:rsid w:val="5E915F53"/>
    <w:rsid w:val="5FAD15E0"/>
    <w:rsid w:val="606E2A7A"/>
    <w:rsid w:val="63064446"/>
    <w:rsid w:val="633C417E"/>
    <w:rsid w:val="650A66C3"/>
    <w:rsid w:val="661C12C3"/>
    <w:rsid w:val="664E4DE5"/>
    <w:rsid w:val="66A447D3"/>
    <w:rsid w:val="6AE85E6D"/>
    <w:rsid w:val="6B4152F6"/>
    <w:rsid w:val="6CD16E33"/>
    <w:rsid w:val="70961CFE"/>
    <w:rsid w:val="71552D88"/>
    <w:rsid w:val="74B644B2"/>
    <w:rsid w:val="754B75E5"/>
    <w:rsid w:val="75EF1AEA"/>
    <w:rsid w:val="76E14B44"/>
    <w:rsid w:val="779A706D"/>
    <w:rsid w:val="78545CD9"/>
    <w:rsid w:val="7C51651E"/>
    <w:rsid w:val="7F517A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exact"/>
    </w:pPr>
    <w:rPr>
      <w:rFonts w:ascii="Times New Roman" w:hAnsi="Times New Roman" w:eastAsia="宋体" w:cs="Times New Roman"/>
      <w:sz w:val="18"/>
      <w:lang w:val="en-GB" w:eastAsia="zh-CN" w:bidi="ar-SA"/>
    </w:rPr>
  </w:style>
  <w:style w:type="paragraph" w:styleId="3">
    <w:name w:val="heading 1"/>
    <w:basedOn w:val="1"/>
    <w:next w:val="4"/>
    <w:link w:val="42"/>
    <w:qFormat/>
    <w:uiPriority w:val="0"/>
    <w:pPr>
      <w:keepNext/>
      <w:numPr>
        <w:ilvl w:val="0"/>
        <w:numId w:val="1"/>
      </w:numPr>
      <w:kinsoku w:val="0"/>
      <w:spacing w:before="240" w:after="60"/>
      <w:outlineLvl w:val="0"/>
    </w:pPr>
    <w:rPr>
      <w:b/>
      <w:bCs/>
      <w:kern w:val="32"/>
      <w:sz w:val="28"/>
      <w:szCs w:val="28"/>
      <w:lang w:val="en-US"/>
    </w:rPr>
  </w:style>
  <w:style w:type="paragraph" w:styleId="5">
    <w:name w:val="heading 2"/>
    <w:basedOn w:val="1"/>
    <w:next w:val="1"/>
    <w:link w:val="43"/>
    <w:qFormat/>
    <w:uiPriority w:val="0"/>
    <w:pPr>
      <w:keepNext/>
      <w:numPr>
        <w:ilvl w:val="1"/>
        <w:numId w:val="1"/>
      </w:numPr>
      <w:kinsoku w:val="0"/>
      <w:spacing w:before="240" w:after="240"/>
      <w:jc w:val="both"/>
      <w:outlineLvl w:val="1"/>
    </w:pPr>
    <w:rPr>
      <w:rFonts w:ascii="宋体" w:cs="Arial"/>
      <w:b/>
      <w:bCs/>
      <w:iCs/>
      <w:color w:val="000000"/>
      <w:sz w:val="24"/>
      <w:szCs w:val="24"/>
      <w:lang w:val="en-US"/>
    </w:rPr>
  </w:style>
  <w:style w:type="paragraph" w:styleId="6">
    <w:name w:val="heading 3"/>
    <w:basedOn w:val="1"/>
    <w:next w:val="1"/>
    <w:link w:val="44"/>
    <w:qFormat/>
    <w:uiPriority w:val="0"/>
    <w:pPr>
      <w:keepNext/>
      <w:numPr>
        <w:ilvl w:val="2"/>
        <w:numId w:val="1"/>
      </w:numPr>
      <w:spacing w:before="240" w:after="60"/>
      <w:outlineLvl w:val="2"/>
    </w:pPr>
    <w:rPr>
      <w:rFonts w:ascii="宋体" w:hAnsi="宋体" w:cs="Arial"/>
      <w:b/>
      <w:bCs/>
      <w:sz w:val="24"/>
      <w:szCs w:val="21"/>
      <w:lang w:val="en-US"/>
    </w:rPr>
  </w:style>
  <w:style w:type="paragraph" w:styleId="7">
    <w:name w:val="heading 4"/>
    <w:basedOn w:val="1"/>
    <w:next w:val="1"/>
    <w:link w:val="45"/>
    <w:qFormat/>
    <w:uiPriority w:val="0"/>
    <w:pPr>
      <w:keepNext/>
      <w:numPr>
        <w:ilvl w:val="3"/>
        <w:numId w:val="1"/>
      </w:numPr>
      <w:spacing w:before="240" w:after="60"/>
      <w:outlineLvl w:val="3"/>
    </w:pPr>
    <w:rPr>
      <w:b/>
      <w:bCs/>
      <w:sz w:val="21"/>
      <w:szCs w:val="28"/>
    </w:rPr>
  </w:style>
  <w:style w:type="paragraph" w:styleId="8">
    <w:name w:val="heading 5"/>
    <w:basedOn w:val="1"/>
    <w:next w:val="1"/>
    <w:link w:val="46"/>
    <w:qFormat/>
    <w:uiPriority w:val="0"/>
    <w:pPr>
      <w:numPr>
        <w:ilvl w:val="4"/>
        <w:numId w:val="1"/>
      </w:numPr>
      <w:spacing w:before="240" w:after="60"/>
      <w:outlineLvl w:val="4"/>
    </w:pPr>
    <w:rPr>
      <w:b/>
      <w:bCs/>
      <w:iCs/>
      <w:sz w:val="21"/>
      <w:szCs w:val="26"/>
    </w:rPr>
  </w:style>
  <w:style w:type="paragraph" w:styleId="9">
    <w:name w:val="heading 6"/>
    <w:basedOn w:val="1"/>
    <w:next w:val="1"/>
    <w:link w:val="47"/>
    <w:qFormat/>
    <w:uiPriority w:val="0"/>
    <w:pPr>
      <w:numPr>
        <w:ilvl w:val="5"/>
        <w:numId w:val="1"/>
      </w:numPr>
      <w:spacing w:before="240" w:after="60"/>
      <w:outlineLvl w:val="5"/>
    </w:pPr>
    <w:rPr>
      <w:b/>
      <w:bCs/>
      <w:sz w:val="21"/>
      <w:szCs w:val="22"/>
    </w:rPr>
  </w:style>
  <w:style w:type="paragraph" w:styleId="10">
    <w:name w:val="heading 7"/>
    <w:basedOn w:val="1"/>
    <w:next w:val="1"/>
    <w:link w:val="48"/>
    <w:qFormat/>
    <w:uiPriority w:val="0"/>
    <w:pPr>
      <w:numPr>
        <w:ilvl w:val="6"/>
        <w:numId w:val="1"/>
      </w:numPr>
      <w:spacing w:before="240" w:after="60"/>
      <w:outlineLvl w:val="6"/>
    </w:pPr>
    <w:rPr>
      <w:sz w:val="24"/>
      <w:szCs w:val="24"/>
    </w:rPr>
  </w:style>
  <w:style w:type="paragraph" w:styleId="11">
    <w:name w:val="heading 8"/>
    <w:basedOn w:val="1"/>
    <w:next w:val="1"/>
    <w:link w:val="49"/>
    <w:qFormat/>
    <w:uiPriority w:val="0"/>
    <w:pPr>
      <w:numPr>
        <w:ilvl w:val="7"/>
        <w:numId w:val="1"/>
      </w:numPr>
      <w:spacing w:before="240" w:after="60"/>
      <w:outlineLvl w:val="7"/>
    </w:pPr>
    <w:rPr>
      <w:i/>
      <w:iCs/>
      <w:sz w:val="24"/>
      <w:szCs w:val="24"/>
    </w:rPr>
  </w:style>
  <w:style w:type="paragraph" w:styleId="12">
    <w:name w:val="heading 9"/>
    <w:basedOn w:val="1"/>
    <w:next w:val="1"/>
    <w:link w:val="50"/>
    <w:qFormat/>
    <w:uiPriority w:val="0"/>
    <w:pPr>
      <w:numPr>
        <w:ilvl w:val="8"/>
        <w:numId w:val="1"/>
      </w:numPr>
      <w:spacing w:before="240" w:after="60"/>
      <w:outlineLvl w:val="8"/>
    </w:pPr>
    <w:rPr>
      <w:rFonts w:ascii="Arial" w:hAnsi="Arial" w:cs="Arial"/>
      <w:sz w:val="22"/>
      <w:szCs w:val="2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4"/>
    <w:qFormat/>
    <w:uiPriority w:val="0"/>
    <w:pPr>
      <w:widowControl w:val="0"/>
      <w:spacing w:after="120" w:line="360" w:lineRule="auto"/>
      <w:ind w:firstLine="200" w:firstLineChars="200"/>
      <w:jc w:val="both"/>
    </w:pPr>
    <w:rPr>
      <w:kern w:val="2"/>
      <w:sz w:val="24"/>
      <w:szCs w:val="24"/>
      <w:lang w:val="en-US"/>
    </w:rPr>
  </w:style>
  <w:style w:type="paragraph" w:styleId="4">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3">
    <w:name w:val="caption"/>
    <w:basedOn w:val="1"/>
    <w:next w:val="1"/>
    <w:unhideWhenUsed/>
    <w:qFormat/>
    <w:uiPriority w:val="35"/>
    <w:rPr>
      <w:rFonts w:eastAsia="黑体" w:asciiTheme="majorHAnsi" w:hAnsiTheme="majorHAnsi" w:cstheme="majorBidi"/>
      <w:sz w:val="20"/>
    </w:rPr>
  </w:style>
  <w:style w:type="paragraph" w:styleId="14">
    <w:name w:val="Document Map"/>
    <w:basedOn w:val="1"/>
    <w:link w:val="52"/>
    <w:semiHidden/>
    <w:qFormat/>
    <w:uiPriority w:val="0"/>
    <w:pPr>
      <w:shd w:val="clear" w:color="auto" w:fill="000080"/>
    </w:pPr>
  </w:style>
  <w:style w:type="paragraph" w:styleId="15">
    <w:name w:val="annotation text"/>
    <w:basedOn w:val="1"/>
    <w:link w:val="39"/>
    <w:qFormat/>
    <w:uiPriority w:val="0"/>
  </w:style>
  <w:style w:type="paragraph" w:styleId="16">
    <w:name w:val="Body Text Indent"/>
    <w:basedOn w:val="1"/>
    <w:link w:val="32"/>
    <w:qFormat/>
    <w:uiPriority w:val="0"/>
    <w:pPr>
      <w:widowControl w:val="0"/>
      <w:spacing w:line="400" w:lineRule="exact"/>
      <w:ind w:firstLine="480" w:firstLineChars="200"/>
      <w:jc w:val="both"/>
    </w:pPr>
    <w:rPr>
      <w:rFonts w:ascii="宋体" w:hAnsi="宋体"/>
      <w:kern w:val="2"/>
      <w:sz w:val="24"/>
      <w:szCs w:val="24"/>
      <w:lang w:val="en-US"/>
    </w:rPr>
  </w:style>
  <w:style w:type="paragraph" w:styleId="17">
    <w:name w:val="toc 3"/>
    <w:basedOn w:val="1"/>
    <w:next w:val="1"/>
    <w:qFormat/>
    <w:uiPriority w:val="39"/>
    <w:pPr>
      <w:tabs>
        <w:tab w:val="left" w:pos="900"/>
        <w:tab w:val="left" w:pos="1260"/>
        <w:tab w:val="right" w:leader="dot" w:pos="9360"/>
      </w:tabs>
      <w:ind w:left="210" w:firstLine="210" w:firstLineChars="100"/>
    </w:pPr>
    <w:rPr>
      <w:kern w:val="2"/>
      <w:sz w:val="21"/>
      <w:szCs w:val="24"/>
      <w:lang w:val="en-US"/>
    </w:rPr>
  </w:style>
  <w:style w:type="paragraph" w:styleId="18">
    <w:name w:val="Balloon Text"/>
    <w:basedOn w:val="1"/>
    <w:link w:val="41"/>
    <w:qFormat/>
    <w:uiPriority w:val="0"/>
    <w:pPr>
      <w:spacing w:line="240" w:lineRule="auto"/>
    </w:pPr>
    <w:rPr>
      <w:szCs w:val="18"/>
    </w:rPr>
  </w:style>
  <w:style w:type="paragraph" w:styleId="19">
    <w:name w:val="footer"/>
    <w:basedOn w:val="1"/>
    <w:link w:val="36"/>
    <w:qFormat/>
    <w:uiPriority w:val="99"/>
    <w:pPr>
      <w:tabs>
        <w:tab w:val="center" w:pos="4153"/>
        <w:tab w:val="right" w:pos="8306"/>
      </w:tabs>
      <w:snapToGrid w:val="0"/>
    </w:pPr>
    <w:rPr>
      <w:szCs w:val="18"/>
    </w:rPr>
  </w:style>
  <w:style w:type="paragraph" w:styleId="20">
    <w:name w:val="header"/>
    <w:basedOn w:val="1"/>
    <w:link w:val="51"/>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9360"/>
      </w:tabs>
    </w:pPr>
    <w:rPr>
      <w:b/>
      <w:bCs/>
      <w:kern w:val="2"/>
      <w:sz w:val="21"/>
      <w:szCs w:val="24"/>
      <w:lang w:val="en-US"/>
    </w:rPr>
  </w:style>
  <w:style w:type="paragraph" w:styleId="22">
    <w:name w:val="toc 2"/>
    <w:basedOn w:val="1"/>
    <w:next w:val="1"/>
    <w:qFormat/>
    <w:uiPriority w:val="39"/>
    <w:pPr>
      <w:tabs>
        <w:tab w:val="left" w:pos="540"/>
        <w:tab w:val="left" w:pos="840"/>
        <w:tab w:val="right" w:leader="dot" w:pos="9360"/>
      </w:tabs>
      <w:ind w:left="200"/>
    </w:pPr>
    <w:rPr>
      <w:kern w:val="2"/>
      <w:sz w:val="21"/>
      <w:szCs w:val="24"/>
      <w:lang w:val="en-US"/>
    </w:rPr>
  </w:style>
  <w:style w:type="paragraph" w:styleId="23">
    <w:name w:val="Normal (Web)"/>
    <w:basedOn w:val="1"/>
    <w:semiHidden/>
    <w:unhideWhenUsed/>
    <w:qFormat/>
    <w:uiPriority w:val="99"/>
  </w:style>
  <w:style w:type="paragraph" w:styleId="24">
    <w:name w:val="annotation subject"/>
    <w:basedOn w:val="15"/>
    <w:next w:val="15"/>
    <w:link w:val="40"/>
    <w:qFormat/>
    <w:uiPriority w:val="0"/>
    <w:rPr>
      <w:b/>
      <w:bCs/>
    </w:rPr>
  </w:style>
  <w:style w:type="table" w:styleId="26">
    <w:name w:val="Table Grid"/>
    <w:basedOn w:val="25"/>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qFormat/>
    <w:uiPriority w:val="0"/>
    <w:rPr>
      <w:color w:val="800080"/>
      <w:u w:val="single"/>
    </w:rPr>
  </w:style>
  <w:style w:type="character" w:styleId="30">
    <w:name w:val="Hyperlink"/>
    <w:qFormat/>
    <w:uiPriority w:val="99"/>
    <w:rPr>
      <w:color w:val="0000FF"/>
      <w:u w:val="single"/>
    </w:rPr>
  </w:style>
  <w:style w:type="character" w:styleId="31">
    <w:name w:val="annotation reference"/>
    <w:qFormat/>
    <w:uiPriority w:val="0"/>
    <w:rPr>
      <w:sz w:val="21"/>
      <w:szCs w:val="21"/>
    </w:rPr>
  </w:style>
  <w:style w:type="character" w:customStyle="1" w:styleId="32">
    <w:name w:val="正文文本缩进 字符"/>
    <w:link w:val="16"/>
    <w:qFormat/>
    <w:uiPriority w:val="0"/>
    <w:rPr>
      <w:rFonts w:ascii="宋体" w:hAnsi="宋体" w:eastAsia="宋体"/>
      <w:kern w:val="2"/>
      <w:sz w:val="24"/>
      <w:szCs w:val="24"/>
      <w:lang w:val="en-US" w:eastAsia="zh-CN" w:bidi="ar-SA"/>
    </w:rPr>
  </w:style>
  <w:style w:type="paragraph" w:customStyle="1" w:styleId="33">
    <w:name w:val="标题二"/>
    <w:basedOn w:val="5"/>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4">
    <w:name w:val="Char Char2"/>
    <w:qFormat/>
    <w:locked/>
    <w:uiPriority w:val="0"/>
    <w:rPr>
      <w:rFonts w:ascii="宋体" w:hAnsi="宋体" w:eastAsia="宋体"/>
      <w:kern w:val="2"/>
      <w:sz w:val="24"/>
      <w:szCs w:val="24"/>
      <w:lang w:val="en-US" w:eastAsia="zh-CN" w:bidi="ar-SA"/>
    </w:rPr>
  </w:style>
  <w:style w:type="character" w:customStyle="1" w:styleId="35">
    <w:name w:val="Char Char21"/>
    <w:qFormat/>
    <w:uiPriority w:val="0"/>
    <w:rPr>
      <w:rFonts w:ascii="宋体" w:hAnsi="宋体" w:eastAsia="宋体" w:cs="Times New Roman"/>
      <w:sz w:val="24"/>
      <w:szCs w:val="24"/>
    </w:rPr>
  </w:style>
  <w:style w:type="character" w:customStyle="1" w:styleId="36">
    <w:name w:val="页脚 字符1"/>
    <w:link w:val="19"/>
    <w:qFormat/>
    <w:uiPriority w:val="0"/>
    <w:rPr>
      <w:rFonts w:eastAsia="宋体"/>
      <w:sz w:val="18"/>
      <w:szCs w:val="18"/>
      <w:lang w:val="en-GB" w:eastAsia="zh-CN" w:bidi="ar-SA"/>
    </w:rPr>
  </w:style>
  <w:style w:type="character" w:customStyle="1" w:styleId="37">
    <w:name w:val="Char Char1"/>
    <w:qFormat/>
    <w:uiPriority w:val="0"/>
    <w:rPr>
      <w:rFonts w:ascii="宋体" w:hAnsi="宋体" w:eastAsia="宋体"/>
      <w:kern w:val="2"/>
      <w:sz w:val="24"/>
      <w:szCs w:val="24"/>
      <w:lang w:val="en-US" w:eastAsia="zh-CN" w:bidi="ar-SA"/>
    </w:rPr>
  </w:style>
  <w:style w:type="character" w:customStyle="1" w:styleId="38">
    <w:name w:val="Char Char"/>
    <w:qFormat/>
    <w:locked/>
    <w:uiPriority w:val="0"/>
    <w:rPr>
      <w:rFonts w:ascii="宋体" w:hAnsi="宋体" w:eastAsia="宋体"/>
      <w:kern w:val="2"/>
      <w:sz w:val="24"/>
      <w:szCs w:val="24"/>
      <w:lang w:val="en-US" w:eastAsia="zh-CN" w:bidi="ar-SA"/>
    </w:rPr>
  </w:style>
  <w:style w:type="character" w:customStyle="1" w:styleId="39">
    <w:name w:val="批注文字 字符"/>
    <w:link w:val="15"/>
    <w:qFormat/>
    <w:uiPriority w:val="0"/>
    <w:rPr>
      <w:sz w:val="18"/>
      <w:lang w:val="en-GB"/>
    </w:rPr>
  </w:style>
  <w:style w:type="character" w:customStyle="1" w:styleId="40">
    <w:name w:val="批注主题 字符"/>
    <w:link w:val="24"/>
    <w:qFormat/>
    <w:uiPriority w:val="0"/>
    <w:rPr>
      <w:b/>
      <w:bCs/>
      <w:sz w:val="18"/>
      <w:lang w:val="en-GB"/>
    </w:rPr>
  </w:style>
  <w:style w:type="character" w:customStyle="1" w:styleId="41">
    <w:name w:val="批注框文本 字符"/>
    <w:link w:val="18"/>
    <w:qFormat/>
    <w:uiPriority w:val="0"/>
    <w:rPr>
      <w:sz w:val="18"/>
      <w:szCs w:val="18"/>
      <w:lang w:val="en-GB"/>
    </w:rPr>
  </w:style>
  <w:style w:type="character" w:customStyle="1" w:styleId="42">
    <w:name w:val="标题 1 字符"/>
    <w:basedOn w:val="27"/>
    <w:link w:val="3"/>
    <w:qFormat/>
    <w:uiPriority w:val="0"/>
    <w:rPr>
      <w:b/>
      <w:bCs/>
      <w:kern w:val="32"/>
      <w:sz w:val="28"/>
      <w:szCs w:val="28"/>
    </w:rPr>
  </w:style>
  <w:style w:type="character" w:customStyle="1" w:styleId="43">
    <w:name w:val="标题 2 字符"/>
    <w:basedOn w:val="27"/>
    <w:link w:val="5"/>
    <w:qFormat/>
    <w:uiPriority w:val="0"/>
    <w:rPr>
      <w:rFonts w:ascii="宋体" w:cs="Arial"/>
      <w:b/>
      <w:bCs/>
      <w:iCs/>
      <w:color w:val="000000"/>
      <w:sz w:val="24"/>
      <w:szCs w:val="24"/>
    </w:rPr>
  </w:style>
  <w:style w:type="character" w:customStyle="1" w:styleId="44">
    <w:name w:val="标题 3 字符"/>
    <w:basedOn w:val="27"/>
    <w:link w:val="6"/>
    <w:qFormat/>
    <w:uiPriority w:val="0"/>
    <w:rPr>
      <w:rFonts w:ascii="宋体" w:hAnsi="宋体" w:eastAsia="宋体" w:cs="Arial"/>
      <w:b/>
      <w:bCs/>
      <w:sz w:val="24"/>
      <w:szCs w:val="21"/>
    </w:rPr>
  </w:style>
  <w:style w:type="character" w:customStyle="1" w:styleId="45">
    <w:name w:val="标题 4 字符"/>
    <w:basedOn w:val="27"/>
    <w:link w:val="7"/>
    <w:qFormat/>
    <w:uiPriority w:val="0"/>
    <w:rPr>
      <w:b/>
      <w:bCs/>
      <w:sz w:val="21"/>
      <w:szCs w:val="28"/>
      <w:lang w:val="en-GB"/>
    </w:rPr>
  </w:style>
  <w:style w:type="character" w:customStyle="1" w:styleId="46">
    <w:name w:val="标题 5 字符"/>
    <w:basedOn w:val="27"/>
    <w:link w:val="8"/>
    <w:qFormat/>
    <w:uiPriority w:val="0"/>
    <w:rPr>
      <w:b/>
      <w:bCs/>
      <w:iCs/>
      <w:sz w:val="21"/>
      <w:szCs w:val="26"/>
      <w:lang w:val="en-GB"/>
    </w:rPr>
  </w:style>
  <w:style w:type="character" w:customStyle="1" w:styleId="47">
    <w:name w:val="标题 6 字符"/>
    <w:basedOn w:val="27"/>
    <w:link w:val="9"/>
    <w:qFormat/>
    <w:uiPriority w:val="0"/>
    <w:rPr>
      <w:b/>
      <w:bCs/>
      <w:sz w:val="21"/>
      <w:szCs w:val="22"/>
      <w:lang w:val="en-GB"/>
    </w:rPr>
  </w:style>
  <w:style w:type="character" w:customStyle="1" w:styleId="48">
    <w:name w:val="标题 7 字符"/>
    <w:basedOn w:val="27"/>
    <w:link w:val="10"/>
    <w:qFormat/>
    <w:uiPriority w:val="0"/>
    <w:rPr>
      <w:sz w:val="24"/>
      <w:szCs w:val="24"/>
      <w:lang w:val="en-GB"/>
    </w:rPr>
  </w:style>
  <w:style w:type="character" w:customStyle="1" w:styleId="49">
    <w:name w:val="标题 8 字符"/>
    <w:basedOn w:val="27"/>
    <w:link w:val="11"/>
    <w:qFormat/>
    <w:uiPriority w:val="0"/>
    <w:rPr>
      <w:i/>
      <w:iCs/>
      <w:sz w:val="24"/>
      <w:szCs w:val="24"/>
      <w:lang w:val="en-GB"/>
    </w:rPr>
  </w:style>
  <w:style w:type="character" w:customStyle="1" w:styleId="50">
    <w:name w:val="标题 9 字符"/>
    <w:basedOn w:val="27"/>
    <w:link w:val="12"/>
    <w:qFormat/>
    <w:uiPriority w:val="0"/>
    <w:rPr>
      <w:rFonts w:ascii="Arial" w:hAnsi="Arial" w:cs="Arial"/>
      <w:sz w:val="22"/>
      <w:szCs w:val="22"/>
      <w:lang w:val="en-GB"/>
    </w:rPr>
  </w:style>
  <w:style w:type="character" w:customStyle="1" w:styleId="51">
    <w:name w:val="页眉 字符"/>
    <w:basedOn w:val="27"/>
    <w:link w:val="20"/>
    <w:qFormat/>
    <w:uiPriority w:val="0"/>
    <w:rPr>
      <w:sz w:val="18"/>
      <w:szCs w:val="18"/>
      <w:lang w:val="en-GB"/>
    </w:rPr>
  </w:style>
  <w:style w:type="character" w:customStyle="1" w:styleId="52">
    <w:name w:val="文档结构图 字符"/>
    <w:basedOn w:val="27"/>
    <w:link w:val="14"/>
    <w:semiHidden/>
    <w:qFormat/>
    <w:uiPriority w:val="0"/>
    <w:rPr>
      <w:sz w:val="18"/>
      <w:shd w:val="clear" w:color="auto" w:fill="000080"/>
      <w:lang w:val="en-GB"/>
    </w:rPr>
  </w:style>
  <w:style w:type="character" w:customStyle="1" w:styleId="53">
    <w:name w:val="页脚 字符"/>
    <w:qFormat/>
    <w:uiPriority w:val="0"/>
    <w:rPr>
      <w:rFonts w:eastAsia="宋体"/>
      <w:kern w:val="2"/>
      <w:sz w:val="18"/>
      <w:lang w:val="en-US" w:eastAsia="zh-CN" w:bidi="ar-SA"/>
    </w:rPr>
  </w:style>
  <w:style w:type="character" w:customStyle="1" w:styleId="54">
    <w:name w:val="正文文本 字符"/>
    <w:basedOn w:val="27"/>
    <w:link w:val="2"/>
    <w:qFormat/>
    <w:uiPriority w:val="0"/>
    <w:rPr>
      <w:kern w:val="2"/>
      <w:sz w:val="24"/>
      <w:szCs w:val="24"/>
    </w:rPr>
  </w:style>
  <w:style w:type="paragraph" w:customStyle="1" w:styleId="55">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56">
    <w:name w:val="List Paragraph"/>
    <w:basedOn w:val="1"/>
    <w:qFormat/>
    <w:uiPriority w:val="34"/>
    <w:pPr>
      <w:ind w:firstLine="420" w:firstLineChars="200"/>
    </w:pPr>
  </w:style>
  <w:style w:type="paragraph" w:customStyle="1" w:styleId="57">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paragraph" w:customStyle="1" w:styleId="58">
    <w:name w:val="毕业论文 正文"/>
    <w:basedOn w:val="1"/>
    <w:qFormat/>
    <w:uiPriority w:val="0"/>
    <w:pPr>
      <w:spacing w:line="400" w:lineRule="exact"/>
      <w:ind w:firstLine="560" w:firstLineChars="200"/>
    </w:pPr>
    <w:rPr>
      <w:rFonts w:cs="宋体"/>
      <w:sz w:val="24"/>
    </w:rPr>
  </w:style>
  <w:style w:type="paragraph" w:customStyle="1" w:styleId="59">
    <w:name w:val="图——题注 6+12 磅"/>
    <w:basedOn w:val="18"/>
    <w:qFormat/>
    <w:uiPriority w:val="0"/>
    <w:pPr>
      <w:spacing w:before="120" w:after="240"/>
      <w:jc w:val="center"/>
    </w:pPr>
    <w:rPr>
      <w:rFonts w:cs="宋体"/>
      <w:sz w:val="21"/>
    </w:rPr>
  </w:style>
  <w:style w:type="paragraph" w:customStyle="1" w:styleId="60">
    <w:name w:val="表——题注 6+6 磅"/>
    <w:basedOn w:val="18"/>
    <w:qFormat/>
    <w:uiPriority w:val="0"/>
    <w:pPr>
      <w:spacing w:before="120" w:after="120"/>
      <w:jc w:val="center"/>
    </w:pPr>
    <w:rPr>
      <w:rFonts w:cs="宋体" w:asciiTheme="minorHAnsi" w:hAnsiTheme="minorHAnsi" w:eastAsiaTheme="minorEastAsia"/>
      <w:sz w:val="20"/>
    </w:rPr>
  </w:style>
  <w:style w:type="character" w:customStyle="1" w:styleId="61">
    <w:name w:val="font41"/>
    <w:basedOn w:val="27"/>
    <w:qFormat/>
    <w:uiPriority w:val="0"/>
    <w:rPr>
      <w:rFonts w:hint="eastAsia" w:ascii="宋体" w:hAnsi="宋体" w:eastAsia="宋体" w:cs="宋体"/>
      <w:color w:val="000000"/>
      <w:sz w:val="21"/>
      <w:szCs w:val="21"/>
      <w:u w:val="none"/>
    </w:rPr>
  </w:style>
  <w:style w:type="character" w:customStyle="1" w:styleId="62">
    <w:name w:val="font11"/>
    <w:basedOn w:val="27"/>
    <w:qFormat/>
    <w:uiPriority w:val="0"/>
    <w:rPr>
      <w:rFonts w:hint="default" w:ascii="Times New Roman" w:hAnsi="Times New Roman" w:cs="Times New Roman"/>
      <w:color w:val="000000"/>
      <w:sz w:val="21"/>
      <w:szCs w:val="21"/>
      <w:u w:val="none"/>
    </w:rPr>
  </w:style>
  <w:style w:type="character" w:customStyle="1" w:styleId="63">
    <w:name w:val="font01"/>
    <w:basedOn w:val="27"/>
    <w:qFormat/>
    <w:uiPriority w:val="0"/>
    <w:rPr>
      <w:rFonts w:hint="default" w:ascii="Times New Roman" w:hAnsi="Times New Roman" w:cs="Times New Roman"/>
      <w:color w:val="000000"/>
      <w:sz w:val="21"/>
      <w:szCs w:val="21"/>
      <w:u w:val="none"/>
      <w:vertAlign w:val="superscript"/>
    </w:rPr>
  </w:style>
  <w:style w:type="character" w:customStyle="1" w:styleId="64">
    <w:name w:val="font31"/>
    <w:basedOn w:val="27"/>
    <w:qFormat/>
    <w:uiPriority w:val="0"/>
    <w:rPr>
      <w:rFonts w:hint="default" w:ascii="Times New Roman" w:hAnsi="Times New Roman" w:cs="Times New Roman"/>
      <w:color w:val="000000"/>
      <w:sz w:val="24"/>
      <w:szCs w:val="24"/>
      <w:u w:val="none"/>
    </w:rPr>
  </w:style>
  <w:style w:type="character" w:customStyle="1" w:styleId="65">
    <w:name w:val="font71"/>
    <w:basedOn w:val="27"/>
    <w:qFormat/>
    <w:uiPriority w:val="0"/>
    <w:rPr>
      <w:rFonts w:hint="default" w:ascii="Times New Roman" w:hAnsi="Times New Roman" w:cs="Times New Roman"/>
      <w:color w:val="000000"/>
      <w:sz w:val="21"/>
      <w:szCs w:val="21"/>
      <w:u w:val="none"/>
      <w:vertAlign w:val="superscript"/>
    </w:rPr>
  </w:style>
  <w:style w:type="character" w:customStyle="1" w:styleId="66">
    <w:name w:val="font51"/>
    <w:basedOn w:val="27"/>
    <w:qFormat/>
    <w:uiPriority w:val="0"/>
    <w:rPr>
      <w:rFonts w:hint="eastAsia" w:ascii="宋体" w:hAnsi="宋体" w:eastAsia="宋体" w:cs="宋体"/>
      <w:color w:val="000000"/>
      <w:sz w:val="21"/>
      <w:szCs w:val="21"/>
      <w:u w:val="none"/>
    </w:rPr>
  </w:style>
  <w:style w:type="character" w:customStyle="1" w:styleId="67">
    <w:name w:val="font61"/>
    <w:basedOn w:val="27"/>
    <w:qFormat/>
    <w:uiPriority w:val="0"/>
    <w:rPr>
      <w:rFonts w:hint="default" w:ascii="Times New Roman" w:hAnsi="Times New Roman" w:cs="Times New Roman"/>
      <w:color w:val="000000"/>
      <w:sz w:val="21"/>
      <w:szCs w:val="21"/>
      <w:u w:val="none"/>
      <w:vertAlign w:val="superscript"/>
    </w:rPr>
  </w:style>
  <w:style w:type="character" w:customStyle="1" w:styleId="68">
    <w:name w:val="font21"/>
    <w:basedOn w:val="27"/>
    <w:qFormat/>
    <w:uiPriority w:val="0"/>
    <w:rPr>
      <w:rFonts w:hint="eastAsia" w:ascii="宋体" w:hAnsi="宋体" w:eastAsia="宋体" w:cs="宋体"/>
      <w:color w:val="000000"/>
      <w:sz w:val="21"/>
      <w:szCs w:val="21"/>
      <w:u w:val="none"/>
    </w:rPr>
  </w:style>
  <w:style w:type="character" w:customStyle="1" w:styleId="69">
    <w:name w:val="font81"/>
    <w:basedOn w:val="27"/>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37.wmf"/><Relationship Id="rId73" Type="http://schemas.openxmlformats.org/officeDocument/2006/relationships/oleObject" Target="embeddings/oleObject32.bin"/><Relationship Id="rId72" Type="http://schemas.openxmlformats.org/officeDocument/2006/relationships/image" Target="media/image36.wmf"/><Relationship Id="rId71" Type="http://schemas.openxmlformats.org/officeDocument/2006/relationships/oleObject" Target="embeddings/oleObject31.bin"/><Relationship Id="rId70" Type="http://schemas.openxmlformats.org/officeDocument/2006/relationships/image" Target="media/image35.wmf"/><Relationship Id="rId7" Type="http://schemas.openxmlformats.org/officeDocument/2006/relationships/oleObject" Target="embeddings/oleObject1.bin"/><Relationship Id="rId69" Type="http://schemas.openxmlformats.org/officeDocument/2006/relationships/oleObject" Target="embeddings/oleObject30.bin"/><Relationship Id="rId68" Type="http://schemas.openxmlformats.org/officeDocument/2006/relationships/image" Target="media/image34.wmf"/><Relationship Id="rId67" Type="http://schemas.openxmlformats.org/officeDocument/2006/relationships/oleObject" Target="embeddings/oleObject29.bin"/><Relationship Id="rId66" Type="http://schemas.openxmlformats.org/officeDocument/2006/relationships/image" Target="media/image33.wmf"/><Relationship Id="rId65" Type="http://schemas.openxmlformats.org/officeDocument/2006/relationships/oleObject" Target="embeddings/oleObject28.bin"/><Relationship Id="rId64" Type="http://schemas.openxmlformats.org/officeDocument/2006/relationships/image" Target="media/image32.wmf"/><Relationship Id="rId63" Type="http://schemas.openxmlformats.org/officeDocument/2006/relationships/oleObject" Target="embeddings/oleObject27.bin"/><Relationship Id="rId62" Type="http://schemas.openxmlformats.org/officeDocument/2006/relationships/image" Target="media/image31.wmf"/><Relationship Id="rId61" Type="http://schemas.openxmlformats.org/officeDocument/2006/relationships/oleObject" Target="embeddings/oleObject26.bin"/><Relationship Id="rId60" Type="http://schemas.openxmlformats.org/officeDocument/2006/relationships/image" Target="media/image30.wmf"/><Relationship Id="rId6" Type="http://schemas.openxmlformats.org/officeDocument/2006/relationships/image" Target="media/image1.png"/><Relationship Id="rId59" Type="http://schemas.openxmlformats.org/officeDocument/2006/relationships/oleObject" Target="embeddings/oleObject25.bin"/><Relationship Id="rId58" Type="http://schemas.openxmlformats.org/officeDocument/2006/relationships/image" Target="media/image29.wmf"/><Relationship Id="rId57" Type="http://schemas.openxmlformats.org/officeDocument/2006/relationships/oleObject" Target="embeddings/oleObject24.bin"/><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oleObject" Target="embeddings/oleObject21.bin"/><Relationship Id="rId47" Type="http://schemas.openxmlformats.org/officeDocument/2006/relationships/oleObject" Target="embeddings/oleObject20.bin"/><Relationship Id="rId46" Type="http://schemas.openxmlformats.org/officeDocument/2006/relationships/oleObject" Target="embeddings/oleObject19.bin"/><Relationship Id="rId45" Type="http://schemas.openxmlformats.org/officeDocument/2006/relationships/oleObject" Target="embeddings/oleObject18.bin"/><Relationship Id="rId44" Type="http://schemas.openxmlformats.org/officeDocument/2006/relationships/image" Target="media/image22.png"/><Relationship Id="rId43" Type="http://schemas.openxmlformats.org/officeDocument/2006/relationships/image" Target="media/image21.wmf"/><Relationship Id="rId42" Type="http://schemas.openxmlformats.org/officeDocument/2006/relationships/oleObject" Target="embeddings/oleObject17.bin"/><Relationship Id="rId41" Type="http://schemas.openxmlformats.org/officeDocument/2006/relationships/image" Target="media/image20.wmf"/><Relationship Id="rId40" Type="http://schemas.openxmlformats.org/officeDocument/2006/relationships/oleObject" Target="embeddings/oleObject16.bin"/><Relationship Id="rId4" Type="http://schemas.openxmlformats.org/officeDocument/2006/relationships/header" Target="header2.xml"/><Relationship Id="rId39" Type="http://schemas.openxmlformats.org/officeDocument/2006/relationships/image" Target="media/image19.wmf"/><Relationship Id="rId38" Type="http://schemas.openxmlformats.org/officeDocument/2006/relationships/oleObject" Target="embeddings/oleObject15.bin"/><Relationship Id="rId37" Type="http://schemas.openxmlformats.org/officeDocument/2006/relationships/image" Target="media/image18.wmf"/><Relationship Id="rId36" Type="http://schemas.openxmlformats.org/officeDocument/2006/relationships/oleObject" Target="embeddings/oleObject14.bin"/><Relationship Id="rId35" Type="http://schemas.openxmlformats.org/officeDocument/2006/relationships/image" Target="media/image17.png"/><Relationship Id="rId34" Type="http://schemas.openxmlformats.org/officeDocument/2006/relationships/image" Target="media/image16.wmf"/><Relationship Id="rId33" Type="http://schemas.openxmlformats.org/officeDocument/2006/relationships/oleObject" Target="embeddings/oleObject13.bin"/><Relationship Id="rId32" Type="http://schemas.openxmlformats.org/officeDocument/2006/relationships/image" Target="media/image15.wmf"/><Relationship Id="rId31" Type="http://schemas.openxmlformats.org/officeDocument/2006/relationships/oleObject" Target="embeddings/oleObject12.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1.bin"/><Relationship Id="rId28" Type="http://schemas.openxmlformats.org/officeDocument/2006/relationships/image" Target="media/image13.wmf"/><Relationship Id="rId27" Type="http://schemas.openxmlformats.org/officeDocument/2006/relationships/oleObject" Target="embeddings/oleObject10.bin"/><Relationship Id="rId26" Type="http://schemas.openxmlformats.org/officeDocument/2006/relationships/image" Target="media/image12.wmf"/><Relationship Id="rId25" Type="http://schemas.openxmlformats.org/officeDocument/2006/relationships/oleObject" Target="embeddings/oleObject9.bin"/><Relationship Id="rId24" Type="http://schemas.openxmlformats.org/officeDocument/2006/relationships/image" Target="media/image11.wmf"/><Relationship Id="rId23" Type="http://schemas.openxmlformats.org/officeDocument/2006/relationships/oleObject" Target="embeddings/oleObject8.bin"/><Relationship Id="rId22" Type="http://schemas.openxmlformats.org/officeDocument/2006/relationships/image" Target="media/image10.wmf"/><Relationship Id="rId21" Type="http://schemas.openxmlformats.org/officeDocument/2006/relationships/oleObject" Target="embeddings/oleObject7.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wmf"/><Relationship Id="rId17" Type="http://schemas.openxmlformats.org/officeDocument/2006/relationships/oleObject" Target="embeddings/oleObject5.bin"/><Relationship Id="rId16" Type="http://schemas.openxmlformats.org/officeDocument/2006/relationships/image" Target="media/image7.wmf"/><Relationship Id="rId15" Type="http://schemas.openxmlformats.org/officeDocument/2006/relationships/oleObject" Target="embeddings/oleObject4.bin"/><Relationship Id="rId14" Type="http://schemas.openxmlformats.org/officeDocument/2006/relationships/image" Target="media/image6.wmf"/><Relationship Id="rId13" Type="http://schemas.openxmlformats.org/officeDocument/2006/relationships/oleObject" Target="embeddings/oleObject3.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GBSware\Dali2016\sys\template\&#35270;&#37326;&#29575;\&#35270;&#37326;&#29575;&#35745;&#31639;&#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视野率计算书</Template>
  <Company>微软中国</Company>
  <Pages>30</Pages>
  <Words>1968</Words>
  <Characters>11220</Characters>
  <Lines>93</Lines>
  <Paragraphs>26</Paragraphs>
  <TotalTime>34</TotalTime>
  <ScaleCrop>false</ScaleCrop>
  <LinksUpToDate>false</LinksUpToDate>
  <CharactersWithSpaces>13162</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2019-04-10T08:31:00Z</dcterms:created>
  <dc:creator>微软用户</dc:creator>
  <cp:lastModifiedBy>Snail</cp:lastModifiedBy>
  <cp:lastPrinted>2113-01-01T00:00:00Z</cp:lastPrinted>
  <dcterms:modified xsi:type="dcterms:W3CDTF">2022-03-01T15:17:52Z</dcterms:modified>
  <dc:title>公共建筑视野率计算书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