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根据现行国家标准《智能建筑设计标准》GB50314和现行行业标准《居住区智能化系统配置与技术要求》CJ/T174，建筑内的信息网络系统</w:t>
            </w:r>
            <w:r>
              <w:rPr>
                <w:rFonts w:hint="eastAsia"/>
                <w:lang w:val="en-US" w:eastAsia="zh-CN"/>
              </w:rPr>
              <w:t>设置有</w:t>
            </w:r>
            <w:r>
              <w:rPr>
                <w:rFonts w:hint="eastAsia"/>
              </w:rPr>
              <w:t>物理线缆层、网络交换层、安全及安全管理系统、运行维护管理系统五部分，支持建筑内语音、数据、图像等多种类信息的传输。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26BA2F86"/>
    <w:rsid w:val="71B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8</TotalTime>
  <ScaleCrop>false</ScaleCrop>
  <LinksUpToDate>false</LinksUpToDate>
  <CharactersWithSpaces>205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瑾桐</cp:lastModifiedBy>
  <dcterms:modified xsi:type="dcterms:W3CDTF">2022-03-01T08:16:21Z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311357E8813C4CE7A9FC210BE74E147F</vt:lpwstr>
  </property>
</Properties>
</file>