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rFonts w:hint="eastAsia"/>
              <w:u w:val="single"/>
              <w:lang w:val="en-US" w:eastAsia="zh-CN"/>
            </w:rPr>
            <w:t>广东深圳</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rFonts w:hint="eastAsia"/>
            </w:rPr>
            <w:t xml:space="preserve"> </w:t>
          </w:r>
          <w:r>
            <w:rPr>
              <w:rFonts w:hint="eastAsia"/>
              <w:u w:val="single"/>
            </w:rPr>
            <w:t xml:space="preserve"> 1933.3 </w:t>
          </w:r>
          <w:r>
            <w:rPr>
              <w:rFonts w:hint="eastAsia"/>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t>14118.40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t>1994.81</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16113.21</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t>63163.96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25.5%</w:t>
                </w: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r>
                  <w:t>8745.41</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r>
                  <w:t>2727.07</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t>1200.08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default" w:ascii="Times New Roman" w:hAnsi="Times New Roman" w:eastAsia="宋体" w:cs="Times New Roman"/>
              <w:szCs w:val="21"/>
              <w:lang w:val="en-US"/>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100%</w:t>
                </w: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rPr>
              <w:t>透水沥青</w:t>
            </w:r>
            <w:r>
              <w:rPr>
                <w:rFonts w:hint="eastAsia" w:ascii="Times New Roman" w:hAnsi="Times New Roman" w:eastAsia="宋体" w:cs="Times New Roman"/>
                <w:kern w:val="0"/>
                <w:sz w:val="20"/>
                <w:szCs w:val="21"/>
                <w:lang w:val="en-US" w:eastAsia="zh-CN"/>
              </w:rPr>
              <w:t>和</w:t>
            </w:r>
            <w:r>
              <w:rPr>
                <w:rFonts w:hint="eastAsia"/>
              </w:rPr>
              <w:t>透水混凝土</w:t>
            </w:r>
            <w:r>
              <w:rPr>
                <w:rFonts w:hint="eastAsia" w:ascii="Times New Roman" w:hAnsi="Times New Roman" w:eastAsia="宋体" w:cs="Times New Roman"/>
                <w:kern w:val="0"/>
                <w:sz w:val="20"/>
                <w:szCs w:val="21"/>
              </w:rPr>
              <w:t>。透水沥青用于路面</w:t>
            </w:r>
            <w:r>
              <w:rPr>
                <w:rFonts w:hint="eastAsia" w:ascii="Times New Roman" w:hAnsi="Times New Roman" w:eastAsia="宋体" w:cs="Times New Roman"/>
                <w:kern w:val="0"/>
                <w:sz w:val="20"/>
                <w:szCs w:val="21"/>
                <w:lang w:eastAsia="zh-CN"/>
              </w:rPr>
              <w:t>，</w:t>
            </w:r>
            <w:r>
              <w:rPr>
                <w:rFonts w:hint="eastAsia"/>
              </w:rPr>
              <w:t>透水地砖</w:t>
            </w:r>
            <w:r>
              <w:rPr>
                <w:rFonts w:hint="eastAsia"/>
                <w:lang w:val="en-US" w:eastAsia="zh-CN"/>
              </w:rPr>
              <w:t>用于广场，</w:t>
            </w:r>
            <w:r>
              <w:rPr>
                <w:rFonts w:hint="eastAsia"/>
              </w:rPr>
              <w:t>透水混凝土</w:t>
            </w:r>
            <w:r>
              <w:rPr>
                <w:rFonts w:hint="eastAsia"/>
                <w:lang w:val="en-US" w:eastAsia="zh-CN"/>
              </w:rPr>
              <w:t>用于渗透性硬地</w:t>
            </w:r>
            <w:r>
              <w:rPr>
                <w:rFonts w:hint="eastAsia" w:ascii="Times New Roman" w:hAnsi="Times New Roman" w:eastAsia="宋体" w:cs="Times New Roman"/>
                <w:kern w:val="0"/>
                <w:sz w:val="20"/>
                <w:szCs w:val="21"/>
              </w:rPr>
              <w:t>。</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4BDC0949"/>
    <w:rsid w:val="5E5B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844</Characters>
  <Lines>7</Lines>
  <Paragraphs>1</Paragraphs>
  <TotalTime>1</TotalTime>
  <ScaleCrop>false</ScaleCrop>
  <LinksUpToDate>false</LinksUpToDate>
  <CharactersWithSpaces>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瑾桐</cp:lastModifiedBy>
  <dcterms:modified xsi:type="dcterms:W3CDTF">2022-03-04T14:02:52Z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D656E8F420E942419010BF7A3B421909</vt:lpwstr>
  </property>
</Properties>
</file>