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社区活动中心</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2021年12月4日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ded5ad3714b9e"/>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T18259098708</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福州</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202.30</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10.80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6</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0.84</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0.58</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0.84</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0.57</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C1615</w:t>
            </w:r>
          </w:p>
        </w:tc>
        <w:tc>
          <w:tcPr>
            <w:vAlign w:val="center"/>
          </w:tcPr>
          <w:p>
            <w:pPr/>
            <w:r>
              <w:t>1606</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C2115</w:t>
            </w:r>
          </w:p>
        </w:tc>
        <w:tc>
          <w:tcPr>
            <w:vAlign w:val="center"/>
          </w:tcPr>
          <w:p>
            <w:pPr/>
            <w:r>
              <w:t>2100</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C2215</w:t>
            </w:r>
          </w:p>
        </w:tc>
        <w:tc>
          <w:tcPr>
            <w:vAlign w:val="center"/>
          </w:tcPr>
          <w:p>
            <w:pPr/>
            <w:r>
              <w:t>2286</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C2315</w:t>
            </w:r>
          </w:p>
        </w:tc>
        <w:tc>
          <w:tcPr>
            <w:vAlign w:val="center"/>
          </w:tcPr>
          <w:p>
            <w:pPr/>
            <w:r>
              <w:t>2398</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C2515</w:t>
            </w:r>
          </w:p>
        </w:tc>
        <w:tc>
          <w:tcPr>
            <w:vAlign w:val="center"/>
          </w:tcPr>
          <w:p>
            <w:pPr/>
            <w:r>
              <w:t>2596</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C3021</w:t>
            </w:r>
          </w:p>
        </w:tc>
        <w:tc>
          <w:tcPr>
            <w:vAlign w:val="center"/>
          </w:tcPr>
          <w:p>
            <w:pPr/>
            <w:r>
              <w:t>3000</w:t>
            </w:r>
          </w:p>
        </w:tc>
        <w:tc>
          <w:tcPr>
            <w:vAlign w:val="center"/>
          </w:tcPr>
          <w:p>
            <w:pPr/>
            <w:r>
              <w:t>2100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C3215</w:t>
            </w:r>
          </w:p>
        </w:tc>
        <w:tc>
          <w:tcPr>
            <w:vAlign w:val="center"/>
          </w:tcPr>
          <w:p>
            <w:pPr/>
            <w:r>
              <w:t>3279</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C3315</w:t>
            </w:r>
          </w:p>
        </w:tc>
        <w:tc>
          <w:tcPr>
            <w:vAlign w:val="center"/>
          </w:tcPr>
          <w:p>
            <w:pPr/>
            <w:r>
              <w:t>3337</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C3415</w:t>
            </w:r>
          </w:p>
        </w:tc>
        <w:tc>
          <w:tcPr>
            <w:vAlign w:val="center"/>
          </w:tcPr>
          <w:p>
            <w:pPr/>
            <w:r>
              <w:t>3408</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C3624</w:t>
            </w:r>
          </w:p>
        </w:tc>
        <w:tc>
          <w:tcPr>
            <w:vAlign w:val="center"/>
          </w:tcPr>
          <w:p>
            <w:pPr/>
            <w:r>
              <w:t>3600</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C3821</w:t>
            </w:r>
          </w:p>
        </w:tc>
        <w:tc>
          <w:tcPr>
            <w:vAlign w:val="center"/>
          </w:tcPr>
          <w:p>
            <w:pPr/>
            <w:r>
              <w:t>3853</w:t>
            </w:r>
          </w:p>
        </w:tc>
        <w:tc>
          <w:tcPr>
            <w:vAlign w:val="center"/>
          </w:tcPr>
          <w:p>
            <w:pPr/>
            <w:r>
              <w:t>2100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C3824</w:t>
            </w:r>
          </w:p>
        </w:tc>
        <w:tc>
          <w:tcPr>
            <w:vAlign w:val="center"/>
          </w:tcPr>
          <w:p>
            <w:pPr/>
            <w:r>
              <w:t>3886</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C4024</w:t>
            </w:r>
          </w:p>
        </w:tc>
        <w:tc>
          <w:tcPr>
            <w:vAlign w:val="center"/>
          </w:tcPr>
          <w:p>
            <w:pPr/>
            <w:r>
              <w:t>4067</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C4224</w:t>
            </w:r>
          </w:p>
        </w:tc>
        <w:tc>
          <w:tcPr>
            <w:vAlign w:val="center"/>
          </w:tcPr>
          <w:p>
            <w:pPr/>
            <w:r>
              <w:t>4208</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C5421</w:t>
            </w:r>
          </w:p>
        </w:tc>
        <w:tc>
          <w:tcPr>
            <w:vAlign w:val="center"/>
          </w:tcPr>
          <w:p>
            <w:pPr/>
            <w:r>
              <w:t>5438</w:t>
            </w:r>
          </w:p>
        </w:tc>
        <w:tc>
          <w:tcPr>
            <w:vAlign w:val="center"/>
          </w:tcPr>
          <w:p>
            <w:pPr/>
            <w:r>
              <w:t>2100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C5515</w:t>
            </w:r>
          </w:p>
        </w:tc>
        <w:tc>
          <w:tcPr>
            <w:vAlign w:val="center"/>
          </w:tcPr>
          <w:p>
            <w:pPr/>
            <w:r>
              <w:t>5513</w:t>
            </w:r>
          </w:p>
        </w:tc>
        <w:tc>
          <w:tcPr>
            <w:vAlign w:val="center"/>
          </w:tcPr>
          <w:p>
            <w:pPr/>
            <w:r>
              <w:t>1500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C5824</w:t>
            </w:r>
          </w:p>
        </w:tc>
        <w:tc>
          <w:tcPr>
            <w:vAlign w:val="center"/>
          </w:tcPr>
          <w:p>
            <w:pPr/>
            <w:r>
              <w:t>5861</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C6121</w:t>
            </w:r>
          </w:p>
        </w:tc>
        <w:tc>
          <w:tcPr>
            <w:vAlign w:val="center"/>
          </w:tcPr>
          <w:p>
            <w:pPr/>
            <w:r>
              <w:t>6136</w:t>
            </w:r>
          </w:p>
        </w:tc>
        <w:tc>
          <w:tcPr>
            <w:vAlign w:val="center"/>
          </w:tcPr>
          <w:p>
            <w:pPr/>
            <w:r>
              <w:t>2100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r>
        <w:tc>
          <w:tcPr>
            <w:vAlign w:val="center"/>
          </w:tcPr>
          <w:p>
            <w:pPr/>
            <w:r>
              <w:t>C6324</w:t>
            </w:r>
          </w:p>
        </w:tc>
        <w:tc>
          <w:tcPr>
            <w:vAlign w:val="center"/>
          </w:tcPr>
          <w:p>
            <w:pPr/>
            <w:r>
              <w:t>6370</w:t>
            </w:r>
          </w:p>
        </w:tc>
        <w:tc>
          <w:tcPr>
            <w:vAlign w:val="center"/>
          </w:tcPr>
          <w:p>
            <w:pPr/>
            <w:r>
              <w:t>2400</w:t>
            </w:r>
          </w:p>
        </w:tc>
        <w:tc>
          <w:tcPr>
            <w:vAlign w:val="center"/>
          </w:tcPr>
          <w:p>
            <w:pPr/>
            <w:r>
              <w:t>单层铝窗</w:t>
            </w:r>
          </w:p>
        </w:tc>
        <w:tc>
          <w:tcPr>
            <w:vAlign w:val="center"/>
          </w:tcPr>
          <w:p>
            <w:pPr/>
            <w:r>
              <w:t>夹层玻璃</w:t>
            </w:r>
          </w:p>
        </w:tc>
        <w:tc>
          <w:tcPr>
            <w:vAlign w:val="center"/>
          </w:tcPr>
          <w:p>
            <w:pPr/>
            <w:r>
              <w:t>0.81</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6C2054" w:rsidRPr="005B290E" w:rsidRDefault="00F32066" w:rsidP="003A5353">
      <w:pPr>
        <w:pStyle w:val="3"/>
      </w:pPr>
      <w:bookmarkStart w:id="76" w:name="_Toc513555454"/>
      <w:bookmarkStart w:id="77" w:name="幕墙"/>
      <w:r w:rsidRPr="005B290E">
        <w:rPr>
          <w:rFonts w:hint="eastAsia"/>
        </w:rPr>
        <w:t>玻璃幕墙</w:t>
      </w:r>
      <w:bookmarkEnd w:id="76"/>
    </w:p>
    <w:bookmarkEnd w:id="77"/>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202</w:t>
            </w:r>
          </w:p>
        </w:tc>
        <w:tc>
          <w:tcPr>
            <w:vAlign w:val="center"/>
          </w:tcPr>
          <w:p>
            <w:pPr/>
            <w:r>
              <w:t>11742</w:t>
            </w:r>
          </w:p>
        </w:tc>
        <w:tc>
          <w:tcPr>
            <w:vAlign w:val="center"/>
          </w:tcPr>
          <w:p>
            <w:pPr/>
            <w:r>
              <w:t>单层铝窗</w:t>
            </w:r>
          </w:p>
        </w:tc>
        <w:tc>
          <w:tcPr>
            <w:vAlign w:val="center"/>
          </w:tcPr>
          <w:p>
            <w:pPr/>
            <w:r>
              <w:t>高透Low-E</w:t>
            </w:r>
          </w:p>
        </w:tc>
        <w:tc>
          <w:tcPr>
            <w:vAlign w:val="center"/>
          </w:tcPr>
          <w:p>
            <w:pPr/>
            <w:r>
              <w:t>0.76</w:t>
            </w:r>
          </w:p>
        </w:tc>
        <w:tc>
          <w:tcPr>
            <w:vAlign w:val="center"/>
          </w:tcPr>
          <w:p>
            <w:pPr/>
            <w:r>
              <w:t>0.08</w:t>
            </w:r>
          </w:p>
        </w:tc>
      </w:tr>
    </w:tbl>
    <w:p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旅馆建筑、幼儿园建筑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1002</w:t>
            </w:r>
          </w:p>
        </w:tc>
        <w:tc>
          <w:tcPr>
            <w:vAlign w:val="center"/>
          </w:tcPr>
          <w:p>
            <w:pPr/>
            <w:r>
              <w:t>活动区</w:t>
            </w:r>
          </w:p>
        </w:tc>
        <w:tc>
          <w:tcPr>
            <w:vAlign w:val="center"/>
          </w:tcPr>
          <w:p>
            <w:pPr/>
            <w:r>
              <w:t>III</w:t>
            </w:r>
          </w:p>
        </w:tc>
        <w:tc>
          <w:tcPr>
            <w:vAlign w:val="center"/>
          </w:tcPr>
          <w:p>
            <w:pPr/>
            <w:r>
              <w:t>侧面</w:t>
            </w:r>
          </w:p>
        </w:tc>
        <w:tc>
          <w:tcPr>
            <w:vAlign w:val="center"/>
          </w:tcPr>
          <w:p>
            <w:pPr/>
            <w:r>
              <w:t>106.06</w:t>
            </w:r>
          </w:p>
        </w:tc>
        <w:tc>
          <w:tcPr>
            <w:vAlign w:val="center"/>
          </w:tcPr>
          <w:p>
            <w:pPr/>
            <w:r>
              <w:t>3.82</w:t>
            </w:r>
          </w:p>
        </w:tc>
        <w:tc>
          <w:tcPr>
            <w:vAlign w:val="center"/>
          </w:tcPr>
          <w:p>
            <w:pPr/>
            <w:r>
              <w:t>3.30</w:t>
            </w:r>
          </w:p>
        </w:tc>
        <w:tc>
          <w:tcPr>
            <w:vAlign w:val="center"/>
          </w:tcPr>
          <w:p>
            <w:pPr/>
            <w:r>
              <w:t>满足</w:t>
            </w:r>
          </w:p>
        </w:tc>
      </w:tr>
      <w:tr>
        <w:tc>
          <w:tcPr>
            <w:vAlign w:val="center"/>
            <w:vMerge/>
          </w:tcPr>
          <w:p>
            <w:pPr/>
          </w:p>
        </w:tc>
        <w:tc>
          <w:tcPr>
            <w:vAlign w:val="center"/>
          </w:tcPr>
          <w:p>
            <w:pPr/>
            <w:r>
              <w:t>1006</w:t>
            </w:r>
          </w:p>
        </w:tc>
        <w:tc>
          <w:tcPr>
            <w:vAlign w:val="center"/>
          </w:tcPr>
          <w:p>
            <w:pPr/>
            <w:r>
              <w:t>大堂</w:t>
            </w:r>
          </w:p>
        </w:tc>
        <w:tc>
          <w:tcPr>
            <w:vAlign w:val="center"/>
          </w:tcPr>
          <w:p>
            <w:pPr/>
            <w:r>
              <w:t>IV</w:t>
            </w:r>
          </w:p>
        </w:tc>
        <w:tc>
          <w:tcPr>
            <w:vAlign w:val="center"/>
          </w:tcPr>
          <w:p>
            <w:pPr/>
            <w:r>
              <w:t>侧面</w:t>
            </w:r>
          </w:p>
        </w:tc>
        <w:tc>
          <w:tcPr>
            <w:vAlign w:val="center"/>
          </w:tcPr>
          <w:p>
            <w:pPr/>
            <w:r>
              <w:t>399.20</w:t>
            </w:r>
          </w:p>
        </w:tc>
        <w:tc>
          <w:tcPr>
            <w:vAlign w:val="center"/>
          </w:tcPr>
          <w:p>
            <w:pPr/>
            <w:r>
              <w:t>2.22</w:t>
            </w:r>
          </w:p>
        </w:tc>
        <w:tc>
          <w:tcPr>
            <w:vAlign w:val="center"/>
          </w:tcPr>
          <w:p>
            <w:pPr/>
            <w:r>
              <w:t>2.20</w:t>
            </w:r>
          </w:p>
        </w:tc>
        <w:tc>
          <w:tcPr>
            <w:vAlign w:val="center"/>
          </w:tcPr>
          <w:p>
            <w:pPr/>
            <w:r>
              <w:t>满足</w:t>
            </w:r>
          </w:p>
        </w:tc>
      </w:tr>
      <w:tr>
        <w:tc>
          <w:tcPr>
            <w:vAlign w:val="center"/>
            <w:vMerge/>
          </w:tcPr>
          <w:p>
            <w:pPr/>
          </w:p>
        </w:tc>
        <w:tc>
          <w:tcPr>
            <w:vAlign w:val="center"/>
          </w:tcPr>
          <w:p>
            <w:pPr/>
            <w:r>
              <w:t>1008</w:t>
            </w:r>
          </w:p>
        </w:tc>
        <w:tc>
          <w:tcPr>
            <w:vAlign w:val="center"/>
          </w:tcPr>
          <w:p>
            <w:pPr/>
            <w:r>
              <w:t>活动区</w:t>
            </w:r>
          </w:p>
        </w:tc>
        <w:tc>
          <w:tcPr>
            <w:vAlign w:val="center"/>
          </w:tcPr>
          <w:p>
            <w:pPr/>
            <w:r>
              <w:t>III</w:t>
            </w:r>
          </w:p>
        </w:tc>
        <w:tc>
          <w:tcPr>
            <w:vAlign w:val="center"/>
          </w:tcPr>
          <w:p>
            <w:pPr/>
            <w:r>
              <w:t>侧面</w:t>
            </w:r>
          </w:p>
        </w:tc>
        <w:tc>
          <w:tcPr>
            <w:vAlign w:val="center"/>
          </w:tcPr>
          <w:p>
            <w:pPr/>
            <w:r>
              <w:t>77.59</w:t>
            </w:r>
          </w:p>
        </w:tc>
        <w:tc>
          <w:tcPr>
            <w:vAlign w:val="center"/>
          </w:tcPr>
          <w:p>
            <w:pPr/>
            <w:r>
              <w:t>3.56</w:t>
            </w:r>
          </w:p>
        </w:tc>
        <w:tc>
          <w:tcPr>
            <w:vAlign w:val="center"/>
          </w:tcPr>
          <w:p>
            <w:pPr/>
            <w:r>
              <w:t>3.30</w:t>
            </w:r>
          </w:p>
        </w:tc>
        <w:tc>
          <w:tcPr>
            <w:vAlign w:val="center"/>
          </w:tcPr>
          <w:p>
            <w:pPr/>
            <w:r>
              <w:t>满足</w:t>
            </w:r>
          </w:p>
        </w:tc>
      </w:tr>
      <w:tr>
        <w:tc>
          <w:tcPr>
            <w:vAlign w:val="center"/>
            <w:vMerge/>
          </w:tcPr>
          <w:p>
            <w:pPr/>
          </w:p>
        </w:tc>
        <w:tc>
          <w:tcPr>
            <w:vAlign w:val="center"/>
          </w:tcPr>
          <w:p>
            <w:pPr/>
            <w:r>
              <w:t>1012</w:t>
            </w:r>
          </w:p>
        </w:tc>
        <w:tc>
          <w:tcPr>
            <w:vAlign w:val="center"/>
          </w:tcPr>
          <w:p>
            <w:pPr/>
            <w:r>
              <w:t>活动区</w:t>
            </w:r>
          </w:p>
        </w:tc>
        <w:tc>
          <w:tcPr>
            <w:vAlign w:val="center"/>
          </w:tcPr>
          <w:p>
            <w:pPr/>
            <w:r>
              <w:t>III</w:t>
            </w:r>
          </w:p>
        </w:tc>
        <w:tc>
          <w:tcPr>
            <w:vAlign w:val="center"/>
          </w:tcPr>
          <w:p>
            <w:pPr/>
            <w:r>
              <w:t>侧面</w:t>
            </w:r>
          </w:p>
        </w:tc>
        <w:tc>
          <w:tcPr>
            <w:vAlign w:val="center"/>
          </w:tcPr>
          <w:p>
            <w:pPr/>
            <w:r>
              <w:t>86.88</w:t>
            </w:r>
          </w:p>
        </w:tc>
        <w:tc>
          <w:tcPr>
            <w:vAlign w:val="center"/>
          </w:tcPr>
          <w:p>
            <w:pPr/>
            <w:r>
              <w:t>4.95</w:t>
            </w:r>
          </w:p>
        </w:tc>
        <w:tc>
          <w:tcPr>
            <w:vAlign w:val="center"/>
          </w:tcPr>
          <w:p>
            <w:pPr/>
            <w:r>
              <w:t>3.30</w:t>
            </w:r>
          </w:p>
        </w:tc>
        <w:tc>
          <w:tcPr>
            <w:vAlign w:val="center"/>
          </w:tcPr>
          <w:p>
            <w:pPr/>
            <w:r>
              <w:t>满足</w:t>
            </w:r>
          </w:p>
        </w:tc>
      </w:tr>
      <w:tr>
        <w:tc>
          <w:tcPr>
            <w:vAlign w:val="center"/>
            <w:vMerge w:val="restart"/>
          </w:tcPr>
          <w:p>
            <w:pPr/>
            <w:r>
              <w:t>2</w:t>
            </w:r>
          </w:p>
        </w:tc>
        <w:tc>
          <w:tcPr>
            <w:vAlign w:val="center"/>
          </w:tcPr>
          <w:p>
            <w:pPr/>
            <w:r>
              <w:t>2002</w:t>
            </w:r>
          </w:p>
        </w:tc>
        <w:tc>
          <w:tcPr>
            <w:vAlign w:val="center"/>
          </w:tcPr>
          <w:p>
            <w:pPr/>
            <w:r>
              <w:t>活动区</w:t>
            </w:r>
          </w:p>
        </w:tc>
        <w:tc>
          <w:tcPr>
            <w:vAlign w:val="center"/>
          </w:tcPr>
          <w:p>
            <w:pPr/>
            <w:r>
              <w:t>III</w:t>
            </w:r>
          </w:p>
        </w:tc>
        <w:tc>
          <w:tcPr>
            <w:vAlign w:val="center"/>
          </w:tcPr>
          <w:p>
            <w:pPr/>
            <w:r>
              <w:t>侧面</w:t>
            </w:r>
          </w:p>
        </w:tc>
        <w:tc>
          <w:tcPr>
            <w:vAlign w:val="center"/>
          </w:tcPr>
          <w:p>
            <w:pPr/>
            <w:r>
              <w:t>106.04</w:t>
            </w:r>
          </w:p>
        </w:tc>
        <w:tc>
          <w:tcPr>
            <w:vAlign w:val="center"/>
          </w:tcPr>
          <w:p>
            <w:pPr/>
            <w:r>
              <w:t>5.89</w:t>
            </w:r>
          </w:p>
        </w:tc>
        <w:tc>
          <w:tcPr>
            <w:vAlign w:val="center"/>
          </w:tcPr>
          <w:p>
            <w:pPr/>
            <w:r>
              <w:t>3.30</w:t>
            </w:r>
          </w:p>
        </w:tc>
        <w:tc>
          <w:tcPr>
            <w:vAlign w:val="center"/>
          </w:tcPr>
          <w:p>
            <w:pPr/>
            <w:r>
              <w:t>满足</w:t>
            </w:r>
          </w:p>
        </w:tc>
      </w:tr>
      <w:tr>
        <w:tc>
          <w:tcPr>
            <w:vAlign w:val="center"/>
            <w:vMerge/>
          </w:tcPr>
          <w:p>
            <w:pPr/>
          </w:p>
        </w:tc>
        <w:tc>
          <w:tcPr>
            <w:vAlign w:val="center"/>
          </w:tcPr>
          <w:p>
            <w:pPr/>
            <w:r>
              <w:t>2005</w:t>
            </w:r>
          </w:p>
        </w:tc>
        <w:tc>
          <w:tcPr>
            <w:vAlign w:val="center"/>
          </w:tcPr>
          <w:p>
            <w:pPr/>
            <w:r>
              <w:t>活动区</w:t>
            </w:r>
          </w:p>
        </w:tc>
        <w:tc>
          <w:tcPr>
            <w:vAlign w:val="center"/>
          </w:tcPr>
          <w:p>
            <w:pPr/>
            <w:r>
              <w:t>III</w:t>
            </w:r>
          </w:p>
        </w:tc>
        <w:tc>
          <w:tcPr>
            <w:vAlign w:val="center"/>
          </w:tcPr>
          <w:p>
            <w:pPr/>
            <w:r>
              <w:t>侧面</w:t>
            </w:r>
          </w:p>
        </w:tc>
        <w:tc>
          <w:tcPr>
            <w:vAlign w:val="center"/>
          </w:tcPr>
          <w:p>
            <w:pPr/>
            <w:r>
              <w:t>411.59</w:t>
            </w:r>
          </w:p>
        </w:tc>
        <w:tc>
          <w:tcPr>
            <w:vAlign w:val="center"/>
          </w:tcPr>
          <w:p>
            <w:pPr/>
            <w:r>
              <w:t>6.45</w:t>
            </w:r>
          </w:p>
        </w:tc>
        <w:tc>
          <w:tcPr>
            <w:vAlign w:val="center"/>
          </w:tcPr>
          <w:p>
            <w:pPr/>
            <w:r>
              <w:t>3.30</w:t>
            </w:r>
          </w:p>
        </w:tc>
        <w:tc>
          <w:tcPr>
            <w:vAlign w:val="center"/>
          </w:tcPr>
          <w:p>
            <w:pPr/>
            <w:r>
              <w:t>满足</w:t>
            </w:r>
          </w:p>
        </w:tc>
      </w:tr>
      <w:tr>
        <w:tc>
          <w:tcPr>
            <w:vAlign w:val="center"/>
            <w:vMerge/>
          </w:tcPr>
          <w:p>
            <w:pPr/>
          </w:p>
        </w:tc>
        <w:tc>
          <w:tcPr>
            <w:vAlign w:val="center"/>
          </w:tcPr>
          <w:p>
            <w:pPr/>
            <w:r>
              <w:t>2008</w:t>
            </w:r>
          </w:p>
        </w:tc>
        <w:tc>
          <w:tcPr>
            <w:vAlign w:val="center"/>
          </w:tcPr>
          <w:p>
            <w:pPr/>
            <w:r>
              <w:t>活动区</w:t>
            </w:r>
          </w:p>
        </w:tc>
        <w:tc>
          <w:tcPr>
            <w:vAlign w:val="center"/>
          </w:tcPr>
          <w:p>
            <w:pPr/>
            <w:r>
              <w:t>III</w:t>
            </w:r>
          </w:p>
        </w:tc>
        <w:tc>
          <w:tcPr>
            <w:vAlign w:val="center"/>
          </w:tcPr>
          <w:p>
            <w:pPr/>
            <w:r>
              <w:t>侧面</w:t>
            </w:r>
          </w:p>
        </w:tc>
        <w:tc>
          <w:tcPr>
            <w:vAlign w:val="center"/>
          </w:tcPr>
          <w:p>
            <w:pPr/>
            <w:r>
              <w:t>77.59</w:t>
            </w:r>
          </w:p>
        </w:tc>
        <w:tc>
          <w:tcPr>
            <w:vAlign w:val="center"/>
          </w:tcPr>
          <w:p>
            <w:pPr/>
            <w:r>
              <w:t>3.92</w:t>
            </w:r>
          </w:p>
        </w:tc>
        <w:tc>
          <w:tcPr>
            <w:vAlign w:val="center"/>
          </w:tcPr>
          <w:p>
            <w:pPr/>
            <w:r>
              <w:t>3.30</w:t>
            </w:r>
          </w:p>
        </w:tc>
        <w:tc>
          <w:tcPr>
            <w:vAlign w:val="center"/>
          </w:tcPr>
          <w:p>
            <w:pPr/>
            <w:r>
              <w:t>满足</w:t>
            </w:r>
          </w:p>
        </w:tc>
      </w:tr>
      <w:tr>
        <w:tc>
          <w:tcPr>
            <w:vAlign w:val="center"/>
            <w:vMerge/>
          </w:tcPr>
          <w:p>
            <w:pPr/>
          </w:p>
        </w:tc>
        <w:tc>
          <w:tcPr>
            <w:vAlign w:val="center"/>
          </w:tcPr>
          <w:p>
            <w:pPr/>
            <w:r>
              <w:t>2013</w:t>
            </w:r>
          </w:p>
        </w:tc>
        <w:tc>
          <w:tcPr>
            <w:vAlign w:val="center"/>
          </w:tcPr>
          <w:p>
            <w:pPr/>
            <w:r>
              <w:t>活动区</w:t>
            </w:r>
          </w:p>
        </w:tc>
        <w:tc>
          <w:tcPr>
            <w:vAlign w:val="center"/>
          </w:tcPr>
          <w:p>
            <w:pPr/>
            <w:r>
              <w:t>III</w:t>
            </w:r>
          </w:p>
        </w:tc>
        <w:tc>
          <w:tcPr>
            <w:vAlign w:val="center"/>
          </w:tcPr>
          <w:p>
            <w:pPr/>
            <w:r>
              <w:t>侧面</w:t>
            </w:r>
          </w:p>
        </w:tc>
        <w:tc>
          <w:tcPr>
            <w:vAlign w:val="center"/>
          </w:tcPr>
          <w:p>
            <w:pPr/>
            <w:r>
              <w:t>86.88</w:t>
            </w:r>
          </w:p>
        </w:tc>
        <w:tc>
          <w:tcPr>
            <w:vAlign w:val="center"/>
          </w:tcPr>
          <w:p>
            <w:pPr/>
            <w:r>
              <w:t>5.92</w:t>
            </w:r>
          </w:p>
        </w:tc>
        <w:tc>
          <w:tcPr>
            <w:vAlign w:val="center"/>
          </w:tcPr>
          <w:p>
            <w:pPr/>
            <w:r>
              <w:t>3.30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70535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d98aa401e465b"/>
                    <a:stretch>
                      <a:fillRect/>
                    </a:stretch>
                  </pic:blipFill>
                  <pic:spPr>
                    <a:xfrm>
                      <a:off x="0" y="0"/>
                      <a:ext cx="5667375" cy="4705350"/>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7434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ebfb9ced1749f3"/>
                    <a:stretch>
                      <a:fillRect/>
                    </a:stretch>
                  </pic:blipFill>
                  <pic:spPr>
                    <a:xfrm>
                      <a:off x="0" y="0"/>
                      <a:ext cx="5667375" cy="4743450"/>
                    </a:xfrm>
                    <a:prstGeom prst="rect">
                      <a:avLst/>
                    </a:prstGeom>
                  </pic:spPr>
                </pic:pic>
              </a:graphicData>
            </a:graphic>
          </wp:inline>
        </drawing>
      </w:r>
    </w:p>
    <w:p>
      <w:pPr>
        <w:rPr>
          <w:lang w:val="en-US"/>
        </w:rPr>
      </w:pPr>
      <w:r>
        <w:rPr>
          <w:lang w:val="en-US"/>
        </w:rPr>
        <w:t>2层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8</w:t>
            </w:r>
          </w:p>
        </w:tc>
        <w:tc>
          <w:tcPr>
            <w:vAlign w:val="center"/>
          </w:tcPr>
          <w:p>
            <w:pPr/>
            <w:r>
              <w:t>8</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1351.82</w:t>
            </w:r>
          </w:p>
        </w:tc>
        <w:tc>
          <w:tcPr>
            <w:vAlign w:val="center"/>
          </w:tcPr>
          <w:p>
            <w:pPr/>
            <w:r>
              <w:t>1351.82</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6410325"/>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3f415fad2f417d"/>
                    <a:stretch>
                      <a:fillRect/>
                    </a:stretch>
                  </pic:blipFill>
                  <pic:spPr>
                    <a:xfrm>
                      <a:off x="0" y="0"/>
                      <a:ext cx="5667375" cy="6410325"/>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c679f19b-6d89-4a23-b30f-541de8701830.png" Id="R957ded5ad3714b9e" /><Relationship Type="http://schemas.openxmlformats.org/officeDocument/2006/relationships/image" Target="/word/media/d4a30637-c22e-4578-a4cf-a179942cff5e.png" Id="R055d98aa401e465b" /><Relationship Type="http://schemas.openxmlformats.org/officeDocument/2006/relationships/image" Target="/word/media/1cb2f26b-3a49-4767-ab9e-f248764810c5.png" Id="R0debfb9ced1749f3" /><Relationship Type="http://schemas.openxmlformats.org/officeDocument/2006/relationships/image" Target="/word/media/9e761c58-0225-458c-9517-2cc1aa861335.jpg" Id="R9b3f415fad2f417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