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T18259098708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_Toc9832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_Toc12957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_Toc12957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_Toc1202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_Toc13397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标识建筑</w:t>
      </w:r>
      <w:r>
        <w:tab/>
      </w:r>
      <w:r>
        <w:fldChar w:fldCharType="begin"/>
      </w:r>
      <w:r>
        <w:instrText xml:space="preserve"> PAGEREF _Toc15043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_Toc15038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_Toc7724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_Toc12852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_Toc16852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_Toc23478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_Toc28668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_Toc6357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_Toc2808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_Toc21882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_Toc7783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比对建筑</w:t>
      </w:r>
      <w:r>
        <w:tab/>
      </w:r>
      <w:r>
        <w:fldChar w:fldCharType="begin"/>
      </w:r>
      <w:r>
        <w:instrText xml:space="preserve"> PAGEREF _Toc7783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_Toc26801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房间表</w:t>
      </w:r>
      <w:r>
        <w:tab/>
      </w:r>
      <w:r>
        <w:fldChar w:fldCharType="begin"/>
      </w:r>
      <w:r>
        <w:instrText xml:space="preserve"> PAGEREF _Toc32592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_Toc27886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_Toc6607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_Toc21359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5.3.1 </w:t>
      </w:r>
      <w:r>
        <w:rPr>
          <w:kern w:val="2"/>
          <w:szCs w:val="24"/>
          <w:lang w:val="en-US"/>
        </w:rPr>
        <w:t>冷水机组</w:t>
      </w:r>
      <w:r>
        <w:tab/>
      </w:r>
      <w:r>
        <w:fldChar w:fldCharType="begin"/>
      </w:r>
      <w:r>
        <w:instrText xml:space="preserve"> PAGEREF _Toc16757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5.3.2 </w:t>
      </w:r>
      <w:r>
        <w:rPr>
          <w:kern w:val="2"/>
          <w:szCs w:val="24"/>
          <w:lang w:val="en-US"/>
        </w:rPr>
        <w:t>冷却水泵</w:t>
      </w:r>
      <w:r>
        <w:tab/>
      </w:r>
      <w:r>
        <w:fldChar w:fldCharType="begin"/>
      </w:r>
      <w:r>
        <w:instrText xml:space="preserve"> PAGEREF _Toc21408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5.3.3 </w:t>
      </w:r>
      <w:r>
        <w:rPr>
          <w:kern w:val="2"/>
          <w:szCs w:val="24"/>
          <w:lang w:val="en-US"/>
        </w:rPr>
        <w:t>冷冻水泵</w:t>
      </w:r>
      <w:r>
        <w:tab/>
      </w:r>
      <w:r>
        <w:fldChar w:fldCharType="begin"/>
      </w:r>
      <w:r>
        <w:instrText xml:space="preserve"> PAGEREF _Toc16794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_Toc7853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热水锅炉能耗</w:t>
      </w:r>
      <w:r>
        <w:tab/>
      </w:r>
      <w:r>
        <w:fldChar w:fldCharType="begin"/>
      </w:r>
      <w:r>
        <w:instrText xml:space="preserve"> PAGEREF _Toc5410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热水循环水泵能耗</w:t>
      </w:r>
      <w:r>
        <w:tab/>
      </w:r>
      <w:r>
        <w:fldChar w:fldCharType="begin"/>
      </w:r>
      <w:r>
        <w:instrText xml:space="preserve"> PAGEREF _Toc16555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_Toc10631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_Toc9212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_Toc28461 </w:instrText>
      </w:r>
      <w:r>
        <w:fldChar w:fldCharType="separate"/>
      </w:r>
      <w:r>
        <w:rPr>
          <w:rFonts w:hint="eastAsia"/>
        </w:rPr>
        <w:t xml:space="preserve">7 </w:t>
      </w:r>
      <w:r>
        <w:t>附录</w:t>
      </w:r>
      <w:r>
        <w:tab/>
      </w:r>
      <w:r>
        <w:fldChar w:fldCharType="begin"/>
      </w:r>
      <w:r>
        <w:instrText xml:space="preserve"> PAGEREF _Toc28461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_Toc4315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_Toc18754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_Toc4652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_Toc16828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983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福建-福州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1402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10558.17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5181.64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bookmarkStart w:id="29" w:name="控温期"/>
            <w:r>
              <w:t>供冷期:6.15-9.15,供暖期:11.15-3.15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0.50(D:3.99)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0.73(D:3.14)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屋顶透光部分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光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1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2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3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4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5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6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备注：1. — 代表本工程无对应项; 2. ——代表参照建筑不要求，取值同设计建筑。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40" w:name="_Toc12957"/>
      <w:r>
        <w:rPr>
          <w:rFonts w:hint="eastAsia"/>
        </w:rPr>
        <w:t>测评依据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《福建省公共建筑节能设计标准》DBJ 13-305-2019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1202"/>
      <w:r>
        <w:rPr>
          <w:kern w:val="2"/>
          <w:szCs w:val="24"/>
          <w:lang w:val="en-US"/>
        </w:rPr>
        <w:t>围护结构</w:t>
      </w:r>
      <w:bookmarkEnd w:id="4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22659"/>
      <w:r>
        <w:rPr>
          <w:kern w:val="2"/>
          <w:szCs w:val="24"/>
          <w:lang w:val="en-US"/>
        </w:rPr>
        <w:t>工程材料</w:t>
      </w:r>
      <w:bookmarkEnd w:id="4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13397"/>
      <w:r>
        <w:rPr>
          <w:kern w:val="2"/>
          <w:szCs w:val="24"/>
          <w:lang w:val="en-US"/>
        </w:rPr>
        <w:t>围护结构作法简要说明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46mm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39mm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 w:val="21"/>
          <w:szCs w:val="21"/>
          <w:lang w:val="en-US"/>
        </w:rPr>
        <w:t>断热铝合金窗--Low-E中空玻璃：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传热系数2.800W/m^2.K，太阳得热系数0.418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043"/>
      <w:r>
        <w:rPr>
          <w:color w:val="000000"/>
          <w:kern w:val="2"/>
          <w:szCs w:val="24"/>
          <w:lang w:val="en-US"/>
        </w:rPr>
        <w:t>标识建筑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038"/>
      <w:r>
        <w:rPr>
          <w:color w:val="000000"/>
          <w:kern w:val="2"/>
          <w:szCs w:val="24"/>
          <w:lang w:val="en-US"/>
        </w:rPr>
        <w:t>房间类型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7724"/>
      <w:r>
        <w:rPr>
          <w:color w:val="000000"/>
          <w:kern w:val="2"/>
          <w:szCs w:val="24"/>
          <w:lang w:val="en-US"/>
        </w:rPr>
        <w:t>房间表</w:t>
      </w:r>
      <w:bookmarkEnd w:id="4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852"/>
      <w:r>
        <w:rPr>
          <w:color w:val="000000"/>
          <w:kern w:val="2"/>
          <w:szCs w:val="24"/>
          <w:lang w:val="en-US"/>
        </w:rPr>
        <w:t>作息时间表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6852"/>
      <w:r>
        <w:rPr>
          <w:color w:val="000000"/>
          <w:kern w:val="2"/>
          <w:szCs w:val="24"/>
          <w:lang w:val="en-US"/>
        </w:rPr>
        <w:t>系统类型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410.68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3478"/>
      <w:r>
        <w:rPr>
          <w:color w:val="000000"/>
          <w:kern w:val="2"/>
          <w:szCs w:val="24"/>
          <w:lang w:val="en-US"/>
        </w:rPr>
        <w:t>制冷系统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8668"/>
      <w:r>
        <w:rPr>
          <w:color w:val="000000"/>
          <w:kern w:val="2"/>
          <w:szCs w:val="24"/>
          <w:lang w:val="en-US"/>
        </w:rPr>
        <w:t>多联机/单元式空调能耗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24753</w:t>
            </w:r>
          </w:p>
        </w:tc>
        <w:tc>
          <w:tcPr>
            <w:vAlign w:val="center"/>
          </w:tcPr>
          <w:p>
            <w:r>
              <w:t>10762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357"/>
      <w:r>
        <w:rPr>
          <w:color w:val="000000"/>
          <w:kern w:val="2"/>
          <w:szCs w:val="24"/>
          <w:lang w:val="en-US"/>
        </w:rPr>
        <w:t>供暖系统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08"/>
      <w:r>
        <w:rPr>
          <w:color w:val="000000"/>
          <w:kern w:val="2"/>
          <w:szCs w:val="24"/>
          <w:lang w:val="en-US"/>
        </w:rPr>
        <w:t>多联机/单元式热泵能耗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13772</w:t>
            </w:r>
          </w:p>
        </w:tc>
        <w:tc>
          <w:tcPr>
            <w:vAlign w:val="center"/>
          </w:tcPr>
          <w:p>
            <w:r>
              <w:t>7248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882"/>
      <w:r>
        <w:rPr>
          <w:color w:val="000000"/>
          <w:kern w:val="2"/>
          <w:szCs w:val="24"/>
          <w:lang w:val="en-US"/>
        </w:rPr>
        <w:t>照明</w:t>
      </w:r>
      <w:bookmarkEnd w:id="5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138</w:t>
            </w:r>
          </w:p>
        </w:tc>
        <w:tc>
          <w:tcPr>
            <w:vAlign w:val="center"/>
          </w:tcPr>
          <w:p>
            <w:r>
              <w:t>3593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301</w:t>
            </w:r>
          </w:p>
        </w:tc>
        <w:tc>
          <w:tcPr>
            <w:vAlign w:val="center"/>
          </w:tcPr>
          <w:p>
            <w:r>
              <w:t>4549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8142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783"/>
      <w:r>
        <w:rPr>
          <w:color w:val="000000"/>
          <w:kern w:val="2"/>
          <w:szCs w:val="24"/>
          <w:lang w:val="en-US"/>
        </w:rPr>
        <w:t>比对建筑</w:t>
      </w:r>
      <w:bookmarkEnd w:id="5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6801"/>
      <w:r>
        <w:rPr>
          <w:color w:val="000000"/>
          <w:kern w:val="2"/>
          <w:szCs w:val="24"/>
          <w:lang w:val="en-US"/>
        </w:rPr>
        <w:t>房间类型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2592"/>
      <w:r>
        <w:rPr>
          <w:color w:val="000000"/>
          <w:kern w:val="2"/>
          <w:szCs w:val="24"/>
          <w:lang w:val="en-US"/>
        </w:rPr>
        <w:t>房间表</w:t>
      </w:r>
      <w:bookmarkEnd w:id="5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7886"/>
      <w:r>
        <w:rPr>
          <w:color w:val="000000"/>
          <w:kern w:val="2"/>
          <w:szCs w:val="24"/>
          <w:lang w:val="en-US"/>
        </w:rPr>
        <w:t>作息时间表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6607"/>
      <w:r>
        <w:rPr>
          <w:color w:val="000000"/>
          <w:kern w:val="2"/>
          <w:szCs w:val="24"/>
          <w:lang w:val="en-US"/>
        </w:rPr>
        <w:t>系统类型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410.68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1359"/>
      <w:r>
        <w:rPr>
          <w:color w:val="000000"/>
          <w:kern w:val="2"/>
          <w:szCs w:val="24"/>
          <w:lang w:val="en-US"/>
        </w:rPr>
        <w:t>制冷系统</w:t>
      </w:r>
      <w:bookmarkEnd w:id="5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6757"/>
      <w:r>
        <w:rPr>
          <w:color w:val="000000"/>
          <w:kern w:val="2"/>
          <w:szCs w:val="24"/>
          <w:lang w:val="en-US"/>
        </w:rPr>
        <w:t>冷水机组</w:t>
      </w:r>
      <w:bookmarkEnd w:id="6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4.26</w:t>
            </w:r>
          </w:p>
        </w:tc>
        <w:tc>
          <w:tcPr>
            <w:vAlign w:val="center"/>
          </w:tcPr>
          <w:p>
            <w:r>
              <w:t>367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3234</w:t>
            </w:r>
          </w:p>
        </w:tc>
        <w:tc>
          <w:tcPr>
            <w:vAlign w:val="center"/>
          </w:tcPr>
          <w:p>
            <w:r>
              <w:t>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14628</w:t>
            </w:r>
          </w:p>
        </w:tc>
        <w:tc>
          <w:tcPr>
            <w:vAlign w:val="center"/>
          </w:tcPr>
          <w:p>
            <w:r>
              <w:t>3475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10410</w:t>
            </w:r>
          </w:p>
        </w:tc>
        <w:tc>
          <w:tcPr>
            <w:vAlign w:val="center"/>
          </w:tcPr>
          <w:p>
            <w:r>
              <w:t>2533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28639</w:t>
            </w:r>
          </w:p>
        </w:tc>
        <w:tc>
          <w:tcPr>
            <w:vAlign w:val="center"/>
          </w:tcPr>
          <w:p>
            <w:r>
              <w:t>6772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1408"/>
      <w:r>
        <w:rPr>
          <w:color w:val="000000"/>
          <w:kern w:val="2"/>
          <w:szCs w:val="24"/>
          <w:lang w:val="en-US"/>
        </w:rPr>
        <w:t>冷却水泵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6794"/>
      <w:r>
        <w:rPr>
          <w:color w:val="000000"/>
          <w:kern w:val="2"/>
          <w:szCs w:val="24"/>
          <w:lang w:val="en-US"/>
        </w:rPr>
        <w:t>冷冻水泵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7853"/>
      <w:r>
        <w:rPr>
          <w:color w:val="000000"/>
          <w:kern w:val="2"/>
          <w:szCs w:val="24"/>
          <w:lang w:val="en-US"/>
        </w:rPr>
        <w:t>供暖系统</w:t>
      </w:r>
      <w:bookmarkEnd w:id="6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5410"/>
      <w:r>
        <w:rPr>
          <w:color w:val="000000"/>
          <w:kern w:val="2"/>
          <w:szCs w:val="24"/>
          <w:lang w:val="en-US"/>
        </w:rPr>
        <w:t>热水锅炉能耗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20411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10371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6555"/>
      <w:r>
        <w:rPr>
          <w:color w:val="000000"/>
          <w:kern w:val="2"/>
          <w:szCs w:val="24"/>
          <w:lang w:val="en-US"/>
        </w:rPr>
        <w:t>热水循环水泵能耗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0.00865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568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0631"/>
      <w:r>
        <w:rPr>
          <w:color w:val="000000"/>
          <w:kern w:val="2"/>
          <w:szCs w:val="24"/>
          <w:lang w:val="en-US"/>
        </w:rPr>
        <w:t>照明</w:t>
      </w:r>
      <w:bookmarkEnd w:id="6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138</w:t>
            </w:r>
          </w:p>
        </w:tc>
        <w:tc>
          <w:tcPr>
            <w:vAlign w:val="center"/>
          </w:tcPr>
          <w:p>
            <w:r>
              <w:t>3593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301</w:t>
            </w:r>
          </w:p>
        </w:tc>
        <w:tc>
          <w:tcPr>
            <w:vAlign w:val="center"/>
          </w:tcPr>
          <w:p>
            <w:r>
              <w:t>4549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8142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9212"/>
      <w:r>
        <w:rPr>
          <w:color w:val="000000"/>
          <w:kern w:val="2"/>
          <w:szCs w:val="24"/>
          <w:lang w:val="en-US"/>
        </w:rPr>
        <w:t>计算结果</w:t>
      </w:r>
      <w:bookmarkEnd w:id="6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比对节能率</w:t>
            </w:r>
            <w:bookmarkEnd w:id="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17.66</w:t>
            </w:r>
            <w:bookmarkEnd w:id="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20.43</w:t>
            </w:r>
            <w:bookmarkEnd w:id="4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13.57%</w:t>
            </w:r>
            <w:bookmarkEnd w:id="5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9.83</w:t>
            </w:r>
            <w:bookmarkEnd w:id="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14.56</w:t>
            </w:r>
            <w:bookmarkEnd w:id="7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32.53%</w:t>
            </w:r>
            <w:bookmarkEnd w:id="8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27.49</w:t>
            </w:r>
            <w:bookmarkEnd w:id="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35.00</w:t>
            </w:r>
            <w:bookmarkEnd w:id="10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21.46%</w:t>
            </w:r>
            <w:bookmarkEnd w:id="11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4.83</w:t>
            </w:r>
            <w:bookmarkEnd w:id="13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-17.80%</w:t>
            </w:r>
            <w:bookmarkEnd w:id="14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0.89</w:t>
            </w:r>
            <w:bookmarkEnd w:id="16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0.80</w:t>
            </w:r>
            <w:bookmarkEnd w:id="18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7.68</w:t>
            </w:r>
            <w:bookmarkEnd w:id="1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7.68</w:t>
            </w:r>
            <w:bookmarkEnd w:id="2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6.52</w:t>
            </w:r>
            <w:bookmarkEnd w:id="22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7.40</w:t>
            </w:r>
            <w:bookmarkEnd w:id="24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33.74%</w:t>
            </w:r>
            <w:bookmarkEnd w:id="25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  <w:bookmarkEnd w:id="26"/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0.41</w:t>
            </w:r>
            <w:bookmarkEnd w:id="28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5.17</w:t>
            </w:r>
            <w:bookmarkEnd w:id="2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31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5.17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7.81</w:t>
            </w:r>
            <w:bookmarkEnd w:id="3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12.85</w:t>
            </w:r>
            <w:bookmarkEnd w:id="3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14.32</w:t>
            </w:r>
            <w:bookmarkEnd w:id="33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10.29%</w:t>
            </w:r>
            <w:bookmarkEnd w:id="34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5.81</w:t>
            </w:r>
            <w:bookmarkEnd w:id="3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5.81</w:t>
            </w:r>
            <w:bookmarkEnd w:id="36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0.00%</w:t>
            </w:r>
            <w:bookmarkEnd w:id="37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18.66</w:t>
            </w:r>
            <w:bookmarkEnd w:id="3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20.13</w:t>
            </w:r>
            <w:bookmarkEnd w:id="39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8" w:name="节能率Ref"/>
            <w:r>
              <w:rPr>
                <w:lang w:val="en-US"/>
              </w:rPr>
              <w:t>7.32%</w:t>
            </w:r>
            <w:bookmarkEnd w:id="68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9" w:name="基础建筑空调供暖和照明能耗"/>
            <w:r>
              <w:rPr>
                <w:rFonts w:hint="eastAsia"/>
                <w:lang w:val="en-US"/>
              </w:rPr>
              <w:t>40.27</w:t>
            </w:r>
            <w:bookmarkEnd w:id="69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0" w:name="节能率Base"/>
            <w:r>
              <w:rPr>
                <w:rFonts w:hint="eastAsia"/>
                <w:lang w:val="en-US"/>
              </w:rPr>
              <w:t>53.66%</w:t>
            </w:r>
            <w:bookmarkEnd w:id="70"/>
          </w:p>
        </w:tc>
      </w:tr>
    </w:tbl>
    <w:p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center"/>
        <w:rPr>
          <w:color w:val="000000"/>
          <w:kern w:val="2"/>
          <w:szCs w:val="24"/>
          <w:lang w:val="en-US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71" w:name="_Toc28461"/>
      <w:r>
        <w:t>附录</w:t>
      </w:r>
      <w:bookmarkEnd w:id="71"/>
    </w:p>
    <w:p>
      <w:pPr>
        <w:pStyle w:val="4"/>
        <w:jc w:val="both"/>
      </w:pPr>
      <w:bookmarkStart w:id="72" w:name="_Toc4315"/>
      <w:r>
        <w:t>工作日/节假日人员逐时在室率(%)</w:t>
      </w:r>
      <w:bookmarkEnd w:id="7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73" w:name="_Toc18754"/>
      <w:r>
        <w:t>工作日/节假日照明开关时间表(%)</w:t>
      </w:r>
      <w:bookmarkEnd w:id="7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4" w:name="_Toc4652"/>
      <w:r>
        <w:t>工作日/节假日设备逐时使用率(%)</w:t>
      </w:r>
      <w:bookmarkEnd w:id="7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5" w:name="_Toc16828"/>
      <w:r>
        <w:t>工作日/节假日空调系统运行时间表(1:开,0:关)</w:t>
      </w:r>
      <w:bookmarkEnd w:id="7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3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6D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建筑能效计算报告书.dotx</Template>
  <Company>ths</Company>
  <Pages>4</Pages>
  <Words>903</Words>
  <Characters>5150</Characters>
  <Lines>42</Lines>
  <Paragraphs>12</Paragraphs>
  <TotalTime>0</TotalTime>
  <ScaleCrop>false</ScaleCrop>
  <LinksUpToDate>false</LinksUpToDate>
  <CharactersWithSpaces>6041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2018-04-25T07:59:00Z</dcterms:created>
  <dc:creator>Jiangx</dc:creator>
  <cp:lastModifiedBy>Mingk</cp:lastModifiedBy>
  <cp:lastPrinted>2411-12-31T16:00:00Z</cp:lastPrinted>
  <dcterms:modified xsi:type="dcterms:W3CDTF">2021-12-05T08:53:06Z</dcterms:modified>
  <dc:title>建筑能效测评报告书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C5C5992266EA43989360705EBAA81CED</vt:lpwstr>
  </property>
</Properties>
</file>