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1" w:name="工程名称"/>
            <w:r>
              <w:t>绿色共享社区活动中心营造</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呼和浩特</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T18434163780</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绿色共享社区活动中心营造</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呼和浩特</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绿色共享社区活动中心营造</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C9223A"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1901.89</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2006.08</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94.81</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3081.68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733.73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15.16</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15.77</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401.94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72.26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16.14</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21.72</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21.09</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20.11</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75.73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30.56</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34.33</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18.17</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214.04</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25.91</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20.25</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X020[房间]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X021[房间]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X022[房间]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33.46</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X023[房间]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33.43</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X024[办公-其它]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315.71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48.69</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29.88</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27.18</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172.73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40.48</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X008[房间]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255.94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20.77</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X009[房间]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252.74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22.21</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29.75</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29.87</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X012[房间]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X013[房间]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63.42</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66.79</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X015[房间]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41.60</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42.12</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X017[房间]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99.68</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X018[房间]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49.99</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X019[房间]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50.62</w:t>
            </w:r>
          </w:p>
        </w:tc>
      </w:tr>
      <w:tr w:rsidR="004E72A8">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X020[办公-其它]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94.81</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3A" w:rsidRDefault="00C9223A">
      <w:pPr>
        <w:spacing w:line="240" w:lineRule="auto"/>
      </w:pPr>
      <w:r>
        <w:separator/>
      </w:r>
    </w:p>
  </w:endnote>
  <w:endnote w:type="continuationSeparator" w:id="0">
    <w:p w:rsidR="00C9223A" w:rsidRDefault="00C92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C9223A"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C9223A"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784833">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784833">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3A" w:rsidRDefault="00C9223A">
      <w:pPr>
        <w:spacing w:line="240" w:lineRule="auto"/>
      </w:pPr>
      <w:r>
        <w:separator/>
      </w:r>
    </w:p>
  </w:footnote>
  <w:footnote w:type="continuationSeparator" w:id="0">
    <w:p w:rsidR="00C9223A" w:rsidRDefault="00C922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33"/>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4E72A8"/>
    <w:rsid w:val="0051229F"/>
    <w:rsid w:val="005920CA"/>
    <w:rsid w:val="005F5C93"/>
    <w:rsid w:val="005F6099"/>
    <w:rsid w:val="00646B82"/>
    <w:rsid w:val="00694BF6"/>
    <w:rsid w:val="006B226B"/>
    <w:rsid w:val="006D5658"/>
    <w:rsid w:val="007109AF"/>
    <w:rsid w:val="0071743A"/>
    <w:rsid w:val="00717EFF"/>
    <w:rsid w:val="00772B34"/>
    <w:rsid w:val="00784833"/>
    <w:rsid w:val="00927560"/>
    <w:rsid w:val="009727E4"/>
    <w:rsid w:val="009A4679"/>
    <w:rsid w:val="009F7F00"/>
    <w:rsid w:val="00A37C21"/>
    <w:rsid w:val="00A87B3B"/>
    <w:rsid w:val="00AC7365"/>
    <w:rsid w:val="00B35FE6"/>
    <w:rsid w:val="00B75415"/>
    <w:rsid w:val="00BA40F1"/>
    <w:rsid w:val="00BB00D4"/>
    <w:rsid w:val="00BB06E3"/>
    <w:rsid w:val="00C9223A"/>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46925-7EE3-4228-82DE-0FF5885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617C-FD29-4F1F-9AB0-6C50324D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4</Pages>
  <Words>363</Words>
  <Characters>2072</Characters>
  <Application>Microsoft Office Word</Application>
  <DocSecurity>0</DocSecurity>
  <Lines>17</Lines>
  <Paragraphs>4</Paragraphs>
  <ScaleCrop>false</ScaleCrop>
  <Company>Microsoft</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hj</dc:creator>
  <cp:keywords/>
  <dc:description/>
  <cp:lastModifiedBy>hj</cp:lastModifiedBy>
  <cp:revision>1</cp:revision>
  <dcterms:created xsi:type="dcterms:W3CDTF">2022-01-04T06:18:00Z</dcterms:created>
  <dcterms:modified xsi:type="dcterms:W3CDTF">2022-01-04T06:19:00Z</dcterms:modified>
</cp:coreProperties>
</file>